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26</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26</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26</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27</w:t>
      </w:r>
      <w:r>
        <w:fldChar w:fldCharType="end"/>
      </w:r>
      <w:r>
        <w:fldChar w:fldCharType="end"/>
      </w:r>
    </w:p>
    <w:p>
      <w:r>
        <w:fldChar w:fldCharType="end"/>
      </w:r>
    </w:p>
    <w:p>
      <w:pPr>
        <w:jc w:val="center"/>
      </w:pPr>
    </w:p>
    <w:p>
      <w:pPr>
        <w:jc w:val="center"/>
      </w:pPr>
    </w:p>
    <w:p>
      <w:pPr>
        <w:jc w:val="center"/>
      </w:pPr>
    </w:p>
    <w:p>
      <w:pPr>
        <w:jc w:val="center"/>
      </w:pPr>
    </w:p>
    <w:p>
      <w:pPr>
        <w:jc w:val="center"/>
        <w:outlineLvl w:val="1"/>
        <w:rPr>
          <w:rFonts w:ascii="方正小标宋_GBK" w:hAnsi="方正小标宋_GBK" w:eastAsia="方正小标宋_GBK" w:cs="方正小标宋_GBK"/>
          <w:color w:val="000000"/>
          <w:sz w:val="36"/>
        </w:rPr>
      </w:pPr>
      <w:bookmarkStart w:id="0" w:name="_Toc_2_2_000000000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cs="方正小标宋_GBK" w:asciiTheme="minorEastAsia" w:hAnsiTheme="minorEastAsia" w:eastAsiaTheme="minorEastAsia"/>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755.86</w:t>
            </w:r>
          </w:p>
        </w:tc>
        <w:tc>
          <w:tcPr>
            <w:tcW w:w="4535" w:type="dxa"/>
            <w:vAlign w:val="center"/>
          </w:tcPr>
          <w:p>
            <w:pPr>
              <w:pStyle w:val="12"/>
            </w:pPr>
            <w:r>
              <w:t>一、一般公共服务支出</w:t>
            </w:r>
          </w:p>
        </w:tc>
        <w:tc>
          <w:tcPr>
            <w:tcW w:w="2126" w:type="dxa"/>
            <w:vAlign w:val="center"/>
          </w:tcPr>
          <w:p>
            <w:pPr>
              <w:pStyle w:val="11"/>
            </w:pPr>
            <w:r>
              <w:t>417.00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112.63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208.56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755.86</w:t>
            </w:r>
          </w:p>
        </w:tc>
        <w:tc>
          <w:tcPr>
            <w:tcW w:w="4535" w:type="dxa"/>
            <w:vAlign w:val="center"/>
          </w:tcPr>
          <w:p>
            <w:pPr>
              <w:pStyle w:val="14"/>
            </w:pPr>
            <w:r>
              <w:t>本年支出合计</w:t>
            </w:r>
          </w:p>
        </w:tc>
        <w:tc>
          <w:tcPr>
            <w:tcW w:w="2126" w:type="dxa"/>
            <w:vAlign w:val="center"/>
          </w:tcPr>
          <w:p>
            <w:pPr>
              <w:pStyle w:val="15"/>
            </w:pPr>
            <w:r>
              <w:t>755.86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755.86</w:t>
            </w:r>
          </w:p>
        </w:tc>
        <w:tc>
          <w:tcPr>
            <w:tcW w:w="4535" w:type="dxa"/>
            <w:vAlign w:val="center"/>
          </w:tcPr>
          <w:p>
            <w:pPr>
              <w:pStyle w:val="14"/>
            </w:pPr>
            <w:r>
              <w:t>支出总计</w:t>
            </w:r>
          </w:p>
        </w:tc>
        <w:tc>
          <w:tcPr>
            <w:tcW w:w="2126" w:type="dxa"/>
            <w:vAlign w:val="center"/>
          </w:tcPr>
          <w:p>
            <w:pPr>
              <w:pStyle w:val="15"/>
            </w:pPr>
            <w:r>
              <w:t>755.86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cs="方正小标宋_GBK" w:asciiTheme="minorEastAsia" w:hAnsiTheme="minorEastAsia" w:eastAsiaTheme="minorEastAsia"/>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755.86</w:t>
            </w:r>
          </w:p>
        </w:tc>
        <w:tc>
          <w:tcPr>
            <w:tcW w:w="1134" w:type="dxa"/>
            <w:vAlign w:val="center"/>
          </w:tcPr>
          <w:p>
            <w:pPr>
              <w:pStyle w:val="15"/>
            </w:pPr>
            <w:r>
              <w:t>755.86</w:t>
            </w:r>
          </w:p>
        </w:tc>
        <w:tc>
          <w:tcPr>
            <w:tcW w:w="1134" w:type="dxa"/>
            <w:vAlign w:val="center"/>
          </w:tcPr>
          <w:p>
            <w:pPr>
              <w:pStyle w:val="15"/>
            </w:pPr>
            <w:r>
              <w:t>755.86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417.00</w:t>
            </w:r>
          </w:p>
        </w:tc>
        <w:tc>
          <w:tcPr>
            <w:tcW w:w="1134" w:type="dxa"/>
            <w:vAlign w:val="center"/>
          </w:tcPr>
          <w:p>
            <w:pPr>
              <w:pStyle w:val="11"/>
            </w:pPr>
            <w:r>
              <w:t>417.00</w:t>
            </w:r>
          </w:p>
        </w:tc>
        <w:tc>
          <w:tcPr>
            <w:tcW w:w="1134" w:type="dxa"/>
            <w:vAlign w:val="center"/>
          </w:tcPr>
          <w:p>
            <w:pPr>
              <w:pStyle w:val="11"/>
            </w:pPr>
            <w:r>
              <w:t>417.00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20136</w:t>
            </w:r>
          </w:p>
        </w:tc>
        <w:tc>
          <w:tcPr>
            <w:tcW w:w="1559" w:type="dxa"/>
            <w:vAlign w:val="center"/>
          </w:tcPr>
          <w:p>
            <w:pPr>
              <w:pStyle w:val="12"/>
            </w:pPr>
            <w:r>
              <w:t>其他共产党事务支出</w:t>
            </w:r>
          </w:p>
        </w:tc>
        <w:tc>
          <w:tcPr>
            <w:tcW w:w="1134" w:type="dxa"/>
            <w:vAlign w:val="center"/>
          </w:tcPr>
          <w:p>
            <w:pPr>
              <w:pStyle w:val="11"/>
            </w:pPr>
            <w:r>
              <w:t>417.00</w:t>
            </w:r>
          </w:p>
        </w:tc>
        <w:tc>
          <w:tcPr>
            <w:tcW w:w="1134" w:type="dxa"/>
            <w:vAlign w:val="center"/>
          </w:tcPr>
          <w:p>
            <w:pPr>
              <w:pStyle w:val="11"/>
            </w:pPr>
            <w:r>
              <w:t>417.00</w:t>
            </w:r>
          </w:p>
        </w:tc>
        <w:tc>
          <w:tcPr>
            <w:tcW w:w="1134" w:type="dxa"/>
            <w:vAlign w:val="center"/>
          </w:tcPr>
          <w:p>
            <w:pPr>
              <w:pStyle w:val="11"/>
            </w:pPr>
            <w:r>
              <w:t>417.00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2013601</w:t>
            </w:r>
          </w:p>
        </w:tc>
        <w:tc>
          <w:tcPr>
            <w:tcW w:w="1559" w:type="dxa"/>
            <w:vAlign w:val="center"/>
          </w:tcPr>
          <w:p>
            <w:pPr>
              <w:pStyle w:val="12"/>
            </w:pPr>
            <w:r>
              <w:t>行政运行</w:t>
            </w:r>
          </w:p>
        </w:tc>
        <w:tc>
          <w:tcPr>
            <w:tcW w:w="1134" w:type="dxa"/>
            <w:vAlign w:val="center"/>
          </w:tcPr>
          <w:p>
            <w:pPr>
              <w:pStyle w:val="11"/>
            </w:pPr>
            <w:r>
              <w:t>316.00</w:t>
            </w:r>
          </w:p>
        </w:tc>
        <w:tc>
          <w:tcPr>
            <w:tcW w:w="1134" w:type="dxa"/>
            <w:vAlign w:val="center"/>
          </w:tcPr>
          <w:p>
            <w:pPr>
              <w:pStyle w:val="11"/>
            </w:pPr>
            <w:r>
              <w:t>316.00</w:t>
            </w:r>
          </w:p>
        </w:tc>
        <w:tc>
          <w:tcPr>
            <w:tcW w:w="1134" w:type="dxa"/>
            <w:vAlign w:val="center"/>
          </w:tcPr>
          <w:p>
            <w:pPr>
              <w:pStyle w:val="11"/>
            </w:pPr>
            <w:r>
              <w:t>316.00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2013699</w:t>
            </w:r>
          </w:p>
        </w:tc>
        <w:tc>
          <w:tcPr>
            <w:tcW w:w="1559" w:type="dxa"/>
            <w:vAlign w:val="center"/>
          </w:tcPr>
          <w:p>
            <w:pPr>
              <w:pStyle w:val="12"/>
            </w:pPr>
            <w:r>
              <w:t>其他共产党事务支出</w:t>
            </w:r>
          </w:p>
        </w:tc>
        <w:tc>
          <w:tcPr>
            <w:tcW w:w="1134" w:type="dxa"/>
            <w:vAlign w:val="center"/>
          </w:tcPr>
          <w:p>
            <w:pPr>
              <w:pStyle w:val="11"/>
            </w:pPr>
            <w:r>
              <w:t>101.00</w:t>
            </w:r>
          </w:p>
        </w:tc>
        <w:tc>
          <w:tcPr>
            <w:tcW w:w="1134" w:type="dxa"/>
            <w:vAlign w:val="center"/>
          </w:tcPr>
          <w:p>
            <w:pPr>
              <w:pStyle w:val="11"/>
            </w:pPr>
            <w:r>
              <w:t>101.00</w:t>
            </w:r>
          </w:p>
        </w:tc>
        <w:tc>
          <w:tcPr>
            <w:tcW w:w="1134" w:type="dxa"/>
            <w:vAlign w:val="center"/>
          </w:tcPr>
          <w:p>
            <w:pPr>
              <w:pStyle w:val="11"/>
            </w:pPr>
            <w:r>
              <w:t>101.00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112.63</w:t>
            </w:r>
          </w:p>
        </w:tc>
        <w:tc>
          <w:tcPr>
            <w:tcW w:w="1134" w:type="dxa"/>
            <w:vAlign w:val="center"/>
          </w:tcPr>
          <w:p>
            <w:pPr>
              <w:pStyle w:val="11"/>
            </w:pPr>
            <w:r>
              <w:t>112.63</w:t>
            </w:r>
          </w:p>
        </w:tc>
        <w:tc>
          <w:tcPr>
            <w:tcW w:w="1134" w:type="dxa"/>
            <w:vAlign w:val="center"/>
          </w:tcPr>
          <w:p>
            <w:pPr>
              <w:pStyle w:val="11"/>
            </w:pPr>
            <w:r>
              <w:t>112.63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112.63</w:t>
            </w:r>
          </w:p>
        </w:tc>
        <w:tc>
          <w:tcPr>
            <w:tcW w:w="1134" w:type="dxa"/>
            <w:vAlign w:val="center"/>
          </w:tcPr>
          <w:p>
            <w:pPr>
              <w:pStyle w:val="11"/>
            </w:pPr>
            <w:r>
              <w:t>112.63</w:t>
            </w:r>
          </w:p>
        </w:tc>
        <w:tc>
          <w:tcPr>
            <w:tcW w:w="1134" w:type="dxa"/>
            <w:vAlign w:val="center"/>
          </w:tcPr>
          <w:p>
            <w:pPr>
              <w:pStyle w:val="11"/>
            </w:pPr>
            <w:r>
              <w:t>112.63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80.21</w:t>
            </w:r>
          </w:p>
        </w:tc>
        <w:tc>
          <w:tcPr>
            <w:tcW w:w="1134" w:type="dxa"/>
            <w:vAlign w:val="center"/>
          </w:tcPr>
          <w:p>
            <w:pPr>
              <w:pStyle w:val="11"/>
            </w:pPr>
            <w:r>
              <w:t>80.21</w:t>
            </w:r>
          </w:p>
        </w:tc>
        <w:tc>
          <w:tcPr>
            <w:tcW w:w="1134" w:type="dxa"/>
            <w:vAlign w:val="center"/>
          </w:tcPr>
          <w:p>
            <w:pPr>
              <w:pStyle w:val="11"/>
            </w:pPr>
            <w:r>
              <w:t>80.21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23.56</w:t>
            </w:r>
          </w:p>
        </w:tc>
        <w:tc>
          <w:tcPr>
            <w:tcW w:w="1134" w:type="dxa"/>
            <w:vAlign w:val="center"/>
          </w:tcPr>
          <w:p>
            <w:pPr>
              <w:pStyle w:val="11"/>
            </w:pPr>
            <w:r>
              <w:t>23.56</w:t>
            </w:r>
          </w:p>
        </w:tc>
        <w:tc>
          <w:tcPr>
            <w:tcW w:w="1134" w:type="dxa"/>
            <w:vAlign w:val="center"/>
          </w:tcPr>
          <w:p>
            <w:pPr>
              <w:pStyle w:val="11"/>
            </w:pPr>
            <w:r>
              <w:t>23.56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8.86</w:t>
            </w:r>
          </w:p>
        </w:tc>
        <w:tc>
          <w:tcPr>
            <w:tcW w:w="1134" w:type="dxa"/>
            <w:vAlign w:val="center"/>
          </w:tcPr>
          <w:p>
            <w:pPr>
              <w:pStyle w:val="11"/>
            </w:pPr>
            <w:r>
              <w:t>8.86</w:t>
            </w:r>
          </w:p>
        </w:tc>
        <w:tc>
          <w:tcPr>
            <w:tcW w:w="1134" w:type="dxa"/>
            <w:vAlign w:val="center"/>
          </w:tcPr>
          <w:p>
            <w:pPr>
              <w:pStyle w:val="11"/>
            </w:pPr>
            <w:r>
              <w:t>8.86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r>
              <w:t>208.56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r>
              <w:t>17.67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cs="方正小标宋_GBK" w:asciiTheme="minorEastAsia" w:hAnsiTheme="minorEastAsia" w:eastAsiaTheme="minorEastAsia"/>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755.86</w:t>
            </w:r>
          </w:p>
        </w:tc>
        <w:tc>
          <w:tcPr>
            <w:tcW w:w="1361" w:type="dxa"/>
            <w:vAlign w:val="center"/>
          </w:tcPr>
          <w:p>
            <w:pPr>
              <w:pStyle w:val="15"/>
            </w:pPr>
            <w:r>
              <w:t>454.86</w:t>
            </w:r>
          </w:p>
        </w:tc>
        <w:tc>
          <w:tcPr>
            <w:tcW w:w="1361" w:type="dxa"/>
            <w:vAlign w:val="center"/>
          </w:tcPr>
          <w:p>
            <w:pPr>
              <w:pStyle w:val="15"/>
            </w:pPr>
            <w:r>
              <w:t>301.00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417.00</w:t>
            </w:r>
          </w:p>
        </w:tc>
        <w:tc>
          <w:tcPr>
            <w:tcW w:w="1361" w:type="dxa"/>
            <w:vAlign w:val="center"/>
          </w:tcPr>
          <w:p>
            <w:pPr>
              <w:pStyle w:val="11"/>
            </w:pPr>
            <w:r>
              <w:t>316.00</w:t>
            </w:r>
          </w:p>
        </w:tc>
        <w:tc>
          <w:tcPr>
            <w:tcW w:w="1361" w:type="dxa"/>
            <w:vAlign w:val="center"/>
          </w:tcPr>
          <w:p>
            <w:pPr>
              <w:pStyle w:val="11"/>
            </w:pPr>
            <w:r>
              <w:t>101.00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20136</w:t>
            </w:r>
          </w:p>
        </w:tc>
        <w:tc>
          <w:tcPr>
            <w:tcW w:w="4535" w:type="dxa"/>
            <w:vAlign w:val="center"/>
          </w:tcPr>
          <w:p>
            <w:pPr>
              <w:pStyle w:val="12"/>
            </w:pPr>
            <w:r>
              <w:t>其他共产党事务支出</w:t>
            </w:r>
          </w:p>
        </w:tc>
        <w:tc>
          <w:tcPr>
            <w:tcW w:w="1361" w:type="dxa"/>
            <w:vAlign w:val="center"/>
          </w:tcPr>
          <w:p>
            <w:pPr>
              <w:pStyle w:val="11"/>
            </w:pPr>
            <w:r>
              <w:t>417.00</w:t>
            </w:r>
          </w:p>
        </w:tc>
        <w:tc>
          <w:tcPr>
            <w:tcW w:w="1361" w:type="dxa"/>
            <w:vAlign w:val="center"/>
          </w:tcPr>
          <w:p>
            <w:pPr>
              <w:pStyle w:val="11"/>
            </w:pPr>
            <w:r>
              <w:t>316.00</w:t>
            </w:r>
          </w:p>
        </w:tc>
        <w:tc>
          <w:tcPr>
            <w:tcW w:w="1361" w:type="dxa"/>
            <w:vAlign w:val="center"/>
          </w:tcPr>
          <w:p>
            <w:pPr>
              <w:pStyle w:val="11"/>
            </w:pPr>
            <w:r>
              <w:t>101.00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2013601</w:t>
            </w:r>
          </w:p>
        </w:tc>
        <w:tc>
          <w:tcPr>
            <w:tcW w:w="4535" w:type="dxa"/>
            <w:vAlign w:val="center"/>
          </w:tcPr>
          <w:p>
            <w:pPr>
              <w:pStyle w:val="12"/>
            </w:pPr>
            <w:r>
              <w:t>行政运行</w:t>
            </w:r>
          </w:p>
        </w:tc>
        <w:tc>
          <w:tcPr>
            <w:tcW w:w="1361" w:type="dxa"/>
            <w:vAlign w:val="center"/>
          </w:tcPr>
          <w:p>
            <w:pPr>
              <w:pStyle w:val="11"/>
            </w:pPr>
            <w:r>
              <w:t>316.00</w:t>
            </w:r>
          </w:p>
        </w:tc>
        <w:tc>
          <w:tcPr>
            <w:tcW w:w="1361" w:type="dxa"/>
            <w:vAlign w:val="center"/>
          </w:tcPr>
          <w:p>
            <w:pPr>
              <w:pStyle w:val="11"/>
            </w:pPr>
            <w:r>
              <w:t>316.00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2013699</w:t>
            </w:r>
          </w:p>
        </w:tc>
        <w:tc>
          <w:tcPr>
            <w:tcW w:w="4535" w:type="dxa"/>
            <w:vAlign w:val="center"/>
          </w:tcPr>
          <w:p>
            <w:pPr>
              <w:pStyle w:val="12"/>
            </w:pPr>
            <w:r>
              <w:t>其他共产党事务支出</w:t>
            </w:r>
          </w:p>
        </w:tc>
        <w:tc>
          <w:tcPr>
            <w:tcW w:w="1361" w:type="dxa"/>
            <w:vAlign w:val="center"/>
          </w:tcPr>
          <w:p>
            <w:pPr>
              <w:pStyle w:val="11"/>
            </w:pPr>
            <w:r>
              <w:t>101.00</w:t>
            </w:r>
          </w:p>
        </w:tc>
        <w:tc>
          <w:tcPr>
            <w:tcW w:w="1361" w:type="dxa"/>
            <w:vAlign w:val="center"/>
          </w:tcPr>
          <w:p>
            <w:pPr>
              <w:pStyle w:val="11"/>
            </w:pPr>
          </w:p>
        </w:tc>
        <w:tc>
          <w:tcPr>
            <w:tcW w:w="1361" w:type="dxa"/>
            <w:vAlign w:val="center"/>
          </w:tcPr>
          <w:p>
            <w:pPr>
              <w:pStyle w:val="11"/>
            </w:pPr>
            <w:r>
              <w:t>101.00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112.63</w:t>
            </w:r>
          </w:p>
        </w:tc>
        <w:tc>
          <w:tcPr>
            <w:tcW w:w="1361" w:type="dxa"/>
            <w:vAlign w:val="center"/>
          </w:tcPr>
          <w:p>
            <w:pPr>
              <w:pStyle w:val="11"/>
            </w:pPr>
            <w:r>
              <w:t>112.63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112.63</w:t>
            </w:r>
          </w:p>
        </w:tc>
        <w:tc>
          <w:tcPr>
            <w:tcW w:w="1361" w:type="dxa"/>
            <w:vAlign w:val="center"/>
          </w:tcPr>
          <w:p>
            <w:pPr>
              <w:pStyle w:val="11"/>
            </w:pPr>
            <w:r>
              <w:t>112.63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80.21</w:t>
            </w:r>
          </w:p>
        </w:tc>
        <w:tc>
          <w:tcPr>
            <w:tcW w:w="1361" w:type="dxa"/>
            <w:vAlign w:val="center"/>
          </w:tcPr>
          <w:p>
            <w:pPr>
              <w:pStyle w:val="11"/>
            </w:pPr>
            <w:r>
              <w:t>80.21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23.56</w:t>
            </w:r>
          </w:p>
        </w:tc>
        <w:tc>
          <w:tcPr>
            <w:tcW w:w="1361" w:type="dxa"/>
            <w:vAlign w:val="center"/>
          </w:tcPr>
          <w:p>
            <w:pPr>
              <w:pStyle w:val="11"/>
            </w:pPr>
            <w:r>
              <w:t>23.56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8.86</w:t>
            </w:r>
          </w:p>
        </w:tc>
        <w:tc>
          <w:tcPr>
            <w:tcW w:w="1361" w:type="dxa"/>
            <w:vAlign w:val="center"/>
          </w:tcPr>
          <w:p>
            <w:pPr>
              <w:pStyle w:val="11"/>
            </w:pPr>
            <w:r>
              <w:t>8.86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208.56</w:t>
            </w:r>
          </w:p>
        </w:tc>
        <w:tc>
          <w:tcPr>
            <w:tcW w:w="1361" w:type="dxa"/>
            <w:vAlign w:val="center"/>
          </w:tcPr>
          <w:p>
            <w:pPr>
              <w:pStyle w:val="11"/>
            </w:pPr>
            <w:r>
              <w:t>8.56</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208.56</w:t>
            </w:r>
          </w:p>
        </w:tc>
        <w:tc>
          <w:tcPr>
            <w:tcW w:w="1361" w:type="dxa"/>
            <w:vAlign w:val="center"/>
          </w:tcPr>
          <w:p>
            <w:pPr>
              <w:pStyle w:val="11"/>
            </w:pPr>
            <w:r>
              <w:t>8.56</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208.56</w:t>
            </w:r>
          </w:p>
        </w:tc>
        <w:tc>
          <w:tcPr>
            <w:tcW w:w="1361" w:type="dxa"/>
            <w:vAlign w:val="center"/>
          </w:tcPr>
          <w:p>
            <w:pPr>
              <w:pStyle w:val="11"/>
            </w:pPr>
            <w:r>
              <w:t>8.56</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17.67</w:t>
            </w:r>
          </w:p>
        </w:tc>
        <w:tc>
          <w:tcPr>
            <w:tcW w:w="1361" w:type="dxa"/>
            <w:vAlign w:val="center"/>
          </w:tcPr>
          <w:p>
            <w:pPr>
              <w:pStyle w:val="11"/>
            </w:pPr>
            <w:r>
              <w:t>17.67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17.67</w:t>
            </w:r>
          </w:p>
        </w:tc>
        <w:tc>
          <w:tcPr>
            <w:tcW w:w="1361" w:type="dxa"/>
            <w:vAlign w:val="center"/>
          </w:tcPr>
          <w:p>
            <w:pPr>
              <w:pStyle w:val="11"/>
            </w:pPr>
            <w:r>
              <w:t>17.67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17.67</w:t>
            </w:r>
          </w:p>
        </w:tc>
        <w:tc>
          <w:tcPr>
            <w:tcW w:w="1361" w:type="dxa"/>
            <w:vAlign w:val="center"/>
          </w:tcPr>
          <w:p>
            <w:pPr>
              <w:pStyle w:val="11"/>
            </w:pPr>
            <w:r>
              <w:t>17.67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cs="方正小标宋_GBK" w:asciiTheme="minorEastAsia" w:hAnsiTheme="minorEastAsia" w:eastAsiaTheme="minorEastAsia"/>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755.86</w:t>
            </w:r>
          </w:p>
        </w:tc>
        <w:tc>
          <w:tcPr>
            <w:tcW w:w="3402" w:type="dxa"/>
            <w:vAlign w:val="center"/>
          </w:tcPr>
          <w:p>
            <w:pPr>
              <w:pStyle w:val="12"/>
            </w:pPr>
            <w:r>
              <w:t>一、一般公共服务支出</w:t>
            </w:r>
          </w:p>
        </w:tc>
        <w:tc>
          <w:tcPr>
            <w:tcW w:w="1474" w:type="dxa"/>
            <w:vAlign w:val="center"/>
          </w:tcPr>
          <w:p>
            <w:pPr>
              <w:pStyle w:val="11"/>
            </w:pPr>
            <w:r>
              <w:t>417.00</w:t>
            </w:r>
          </w:p>
        </w:tc>
        <w:tc>
          <w:tcPr>
            <w:tcW w:w="1474" w:type="dxa"/>
            <w:vAlign w:val="center"/>
          </w:tcPr>
          <w:p>
            <w:pPr>
              <w:pStyle w:val="11"/>
            </w:pPr>
            <w:r>
              <w:t>417.00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112.63</w:t>
            </w:r>
          </w:p>
        </w:tc>
        <w:tc>
          <w:tcPr>
            <w:tcW w:w="1474" w:type="dxa"/>
            <w:vAlign w:val="center"/>
          </w:tcPr>
          <w:p>
            <w:pPr>
              <w:pStyle w:val="11"/>
            </w:pPr>
            <w:r>
              <w:t>112.63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208.56</w:t>
            </w:r>
          </w:p>
        </w:tc>
        <w:tc>
          <w:tcPr>
            <w:tcW w:w="1474" w:type="dxa"/>
            <w:vAlign w:val="center"/>
          </w:tcPr>
          <w:p>
            <w:pPr>
              <w:pStyle w:val="11"/>
            </w:pPr>
            <w:r>
              <w:t>208.56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17.67</w:t>
            </w:r>
          </w:p>
        </w:tc>
        <w:tc>
          <w:tcPr>
            <w:tcW w:w="1474" w:type="dxa"/>
            <w:vAlign w:val="center"/>
          </w:tcPr>
          <w:p>
            <w:pPr>
              <w:pStyle w:val="11"/>
            </w:pPr>
            <w:r>
              <w:t>17.67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755.86</w:t>
            </w:r>
          </w:p>
        </w:tc>
        <w:tc>
          <w:tcPr>
            <w:tcW w:w="3402" w:type="dxa"/>
            <w:vAlign w:val="center"/>
          </w:tcPr>
          <w:p>
            <w:pPr>
              <w:pStyle w:val="14"/>
            </w:pPr>
            <w:r>
              <w:t>本年支出合计</w:t>
            </w:r>
          </w:p>
        </w:tc>
        <w:tc>
          <w:tcPr>
            <w:tcW w:w="1474" w:type="dxa"/>
            <w:vAlign w:val="center"/>
          </w:tcPr>
          <w:p>
            <w:pPr>
              <w:pStyle w:val="15"/>
            </w:pPr>
            <w:r>
              <w:t>755.86</w:t>
            </w:r>
          </w:p>
        </w:tc>
        <w:tc>
          <w:tcPr>
            <w:tcW w:w="1474" w:type="dxa"/>
            <w:vAlign w:val="center"/>
          </w:tcPr>
          <w:p>
            <w:pPr>
              <w:pStyle w:val="15"/>
            </w:pPr>
            <w:r>
              <w:t>755.86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755.86</w:t>
            </w:r>
          </w:p>
        </w:tc>
        <w:tc>
          <w:tcPr>
            <w:tcW w:w="3402" w:type="dxa"/>
            <w:vAlign w:val="center"/>
          </w:tcPr>
          <w:p>
            <w:pPr>
              <w:pStyle w:val="14"/>
            </w:pPr>
            <w:r>
              <w:t>支出总计</w:t>
            </w:r>
          </w:p>
        </w:tc>
        <w:tc>
          <w:tcPr>
            <w:tcW w:w="1474" w:type="dxa"/>
            <w:vAlign w:val="center"/>
          </w:tcPr>
          <w:p>
            <w:pPr>
              <w:pStyle w:val="15"/>
            </w:pPr>
            <w:r>
              <w:t>755.86</w:t>
            </w:r>
          </w:p>
        </w:tc>
        <w:tc>
          <w:tcPr>
            <w:tcW w:w="1474" w:type="dxa"/>
            <w:vAlign w:val="center"/>
          </w:tcPr>
          <w:p>
            <w:pPr>
              <w:pStyle w:val="15"/>
            </w:pPr>
            <w:r>
              <w:t>755.86</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cs="方正小标宋_GBK" w:asciiTheme="minorEastAsia" w:hAnsiTheme="minorEastAsia" w:eastAsiaTheme="minorEastAsia"/>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755.86</w:t>
            </w:r>
          </w:p>
        </w:tc>
        <w:tc>
          <w:tcPr>
            <w:tcW w:w="2551" w:type="dxa"/>
            <w:vAlign w:val="center"/>
          </w:tcPr>
          <w:p>
            <w:pPr>
              <w:pStyle w:val="15"/>
            </w:pPr>
            <w:r>
              <w:t>454.86</w:t>
            </w:r>
          </w:p>
        </w:tc>
        <w:tc>
          <w:tcPr>
            <w:tcW w:w="2551" w:type="dxa"/>
            <w:vAlign w:val="center"/>
          </w:tcPr>
          <w:p>
            <w:pPr>
              <w:pStyle w:val="15"/>
            </w:pPr>
            <w:r>
              <w:t>301.00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417.00</w:t>
            </w:r>
          </w:p>
        </w:tc>
        <w:tc>
          <w:tcPr>
            <w:tcW w:w="2551" w:type="dxa"/>
            <w:vAlign w:val="center"/>
          </w:tcPr>
          <w:p>
            <w:pPr>
              <w:pStyle w:val="11"/>
            </w:pPr>
            <w:r>
              <w:t>316.00</w:t>
            </w:r>
          </w:p>
        </w:tc>
        <w:tc>
          <w:tcPr>
            <w:tcW w:w="2551" w:type="dxa"/>
            <w:vAlign w:val="center"/>
          </w:tcPr>
          <w:p>
            <w:pPr>
              <w:pStyle w:val="11"/>
            </w:pPr>
            <w: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20136</w:t>
            </w:r>
          </w:p>
        </w:tc>
        <w:tc>
          <w:tcPr>
            <w:tcW w:w="4535" w:type="dxa"/>
            <w:vAlign w:val="center"/>
          </w:tcPr>
          <w:p>
            <w:pPr>
              <w:pStyle w:val="12"/>
            </w:pPr>
            <w:r>
              <w:t>其他共产党事务支出</w:t>
            </w:r>
          </w:p>
        </w:tc>
        <w:tc>
          <w:tcPr>
            <w:tcW w:w="2551" w:type="dxa"/>
            <w:vAlign w:val="center"/>
          </w:tcPr>
          <w:p>
            <w:pPr>
              <w:pStyle w:val="11"/>
            </w:pPr>
            <w:r>
              <w:t>417.00</w:t>
            </w:r>
          </w:p>
        </w:tc>
        <w:tc>
          <w:tcPr>
            <w:tcW w:w="2551" w:type="dxa"/>
            <w:vAlign w:val="center"/>
          </w:tcPr>
          <w:p>
            <w:pPr>
              <w:pStyle w:val="11"/>
            </w:pPr>
            <w:r>
              <w:t>316.00</w:t>
            </w:r>
          </w:p>
        </w:tc>
        <w:tc>
          <w:tcPr>
            <w:tcW w:w="2551" w:type="dxa"/>
            <w:vAlign w:val="center"/>
          </w:tcPr>
          <w:p>
            <w:pPr>
              <w:pStyle w:val="11"/>
            </w:pPr>
            <w: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2013601</w:t>
            </w:r>
          </w:p>
        </w:tc>
        <w:tc>
          <w:tcPr>
            <w:tcW w:w="4535" w:type="dxa"/>
            <w:vAlign w:val="center"/>
          </w:tcPr>
          <w:p>
            <w:pPr>
              <w:pStyle w:val="12"/>
            </w:pPr>
            <w:r>
              <w:t>行政运行</w:t>
            </w:r>
          </w:p>
        </w:tc>
        <w:tc>
          <w:tcPr>
            <w:tcW w:w="2551" w:type="dxa"/>
            <w:vAlign w:val="center"/>
          </w:tcPr>
          <w:p>
            <w:pPr>
              <w:pStyle w:val="11"/>
            </w:pPr>
            <w:r>
              <w:t>316.00</w:t>
            </w:r>
          </w:p>
        </w:tc>
        <w:tc>
          <w:tcPr>
            <w:tcW w:w="2551" w:type="dxa"/>
            <w:vAlign w:val="center"/>
          </w:tcPr>
          <w:p>
            <w:pPr>
              <w:pStyle w:val="11"/>
            </w:pPr>
            <w:r>
              <w:t>316.00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2013699</w:t>
            </w:r>
          </w:p>
        </w:tc>
        <w:tc>
          <w:tcPr>
            <w:tcW w:w="4535" w:type="dxa"/>
            <w:vAlign w:val="center"/>
          </w:tcPr>
          <w:p>
            <w:pPr>
              <w:pStyle w:val="12"/>
            </w:pPr>
            <w:r>
              <w:t>其他共产党事务支出</w:t>
            </w:r>
          </w:p>
        </w:tc>
        <w:tc>
          <w:tcPr>
            <w:tcW w:w="2551" w:type="dxa"/>
            <w:vAlign w:val="center"/>
          </w:tcPr>
          <w:p>
            <w:pPr>
              <w:pStyle w:val="11"/>
            </w:pPr>
            <w:r>
              <w:t>101.00</w:t>
            </w:r>
          </w:p>
        </w:tc>
        <w:tc>
          <w:tcPr>
            <w:tcW w:w="2551" w:type="dxa"/>
            <w:vAlign w:val="center"/>
          </w:tcPr>
          <w:p>
            <w:pPr>
              <w:pStyle w:val="11"/>
            </w:pPr>
          </w:p>
        </w:tc>
        <w:tc>
          <w:tcPr>
            <w:tcW w:w="2551" w:type="dxa"/>
            <w:vAlign w:val="center"/>
          </w:tcPr>
          <w:p>
            <w:pPr>
              <w:pStyle w:val="11"/>
            </w:pPr>
            <w: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112.63</w:t>
            </w:r>
          </w:p>
        </w:tc>
        <w:tc>
          <w:tcPr>
            <w:tcW w:w="2551" w:type="dxa"/>
            <w:vAlign w:val="center"/>
          </w:tcPr>
          <w:p>
            <w:pPr>
              <w:pStyle w:val="11"/>
            </w:pPr>
            <w:r>
              <w:t>112.63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112.63</w:t>
            </w:r>
          </w:p>
        </w:tc>
        <w:tc>
          <w:tcPr>
            <w:tcW w:w="2551" w:type="dxa"/>
            <w:vAlign w:val="center"/>
          </w:tcPr>
          <w:p>
            <w:pPr>
              <w:pStyle w:val="11"/>
            </w:pPr>
            <w:r>
              <w:t>112.63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80.21</w:t>
            </w:r>
          </w:p>
        </w:tc>
        <w:tc>
          <w:tcPr>
            <w:tcW w:w="2551" w:type="dxa"/>
            <w:vAlign w:val="center"/>
          </w:tcPr>
          <w:p>
            <w:pPr>
              <w:pStyle w:val="11"/>
            </w:pPr>
            <w:r>
              <w:t>80.21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23.56</w:t>
            </w:r>
          </w:p>
        </w:tc>
        <w:tc>
          <w:tcPr>
            <w:tcW w:w="2551" w:type="dxa"/>
            <w:vAlign w:val="center"/>
          </w:tcPr>
          <w:p>
            <w:pPr>
              <w:pStyle w:val="11"/>
            </w:pPr>
            <w:r>
              <w:t>23.56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8.86</w:t>
            </w:r>
          </w:p>
        </w:tc>
        <w:tc>
          <w:tcPr>
            <w:tcW w:w="2551" w:type="dxa"/>
            <w:vAlign w:val="center"/>
          </w:tcPr>
          <w:p>
            <w:pPr>
              <w:pStyle w:val="11"/>
            </w:pPr>
            <w:r>
              <w:t>8.86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208.56</w:t>
            </w:r>
          </w:p>
        </w:tc>
        <w:tc>
          <w:tcPr>
            <w:tcW w:w="2551" w:type="dxa"/>
            <w:vAlign w:val="center"/>
          </w:tcPr>
          <w:p>
            <w:pPr>
              <w:pStyle w:val="11"/>
            </w:pPr>
            <w:r>
              <w:t>8.56</w:t>
            </w: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208.56</w:t>
            </w:r>
          </w:p>
        </w:tc>
        <w:tc>
          <w:tcPr>
            <w:tcW w:w="2551" w:type="dxa"/>
            <w:vAlign w:val="center"/>
          </w:tcPr>
          <w:p>
            <w:pPr>
              <w:pStyle w:val="11"/>
            </w:pPr>
            <w:r>
              <w:t>8.56</w:t>
            </w: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208.56</w:t>
            </w:r>
          </w:p>
        </w:tc>
        <w:tc>
          <w:tcPr>
            <w:tcW w:w="2551" w:type="dxa"/>
            <w:vAlign w:val="center"/>
          </w:tcPr>
          <w:p>
            <w:pPr>
              <w:pStyle w:val="11"/>
            </w:pPr>
            <w:r>
              <w:t>8.56</w:t>
            </w: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17.67</w:t>
            </w:r>
          </w:p>
        </w:tc>
        <w:tc>
          <w:tcPr>
            <w:tcW w:w="2551" w:type="dxa"/>
            <w:vAlign w:val="center"/>
          </w:tcPr>
          <w:p>
            <w:pPr>
              <w:pStyle w:val="11"/>
            </w:pPr>
            <w:r>
              <w:t>17.67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17.67</w:t>
            </w:r>
          </w:p>
        </w:tc>
        <w:tc>
          <w:tcPr>
            <w:tcW w:w="2551" w:type="dxa"/>
            <w:vAlign w:val="center"/>
          </w:tcPr>
          <w:p>
            <w:pPr>
              <w:pStyle w:val="11"/>
            </w:pPr>
            <w:r>
              <w:t>17.67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17.67</w:t>
            </w:r>
          </w:p>
        </w:tc>
        <w:tc>
          <w:tcPr>
            <w:tcW w:w="2551" w:type="dxa"/>
            <w:vAlign w:val="center"/>
          </w:tcPr>
          <w:p>
            <w:pPr>
              <w:pStyle w:val="11"/>
            </w:pPr>
            <w:r>
              <w:t>17.67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cs="方正小标宋_GBK" w:asciiTheme="minorEastAsia" w:hAnsiTheme="minorEastAsia" w:eastAsiaTheme="minorEastAsia"/>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454.86</w:t>
            </w:r>
          </w:p>
        </w:tc>
        <w:tc>
          <w:tcPr>
            <w:tcW w:w="2551" w:type="dxa"/>
            <w:vAlign w:val="center"/>
          </w:tcPr>
          <w:p>
            <w:pPr>
              <w:pStyle w:val="15"/>
            </w:pPr>
            <w:r>
              <w:t>405.87</w:t>
            </w:r>
          </w:p>
        </w:tc>
        <w:tc>
          <w:tcPr>
            <w:tcW w:w="2551" w:type="dxa"/>
            <w:vAlign w:val="center"/>
          </w:tcPr>
          <w:p>
            <w:pPr>
              <w:pStyle w:val="15"/>
            </w:pPr>
            <w:r>
              <w:t>48.99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263.56</w:t>
            </w:r>
          </w:p>
        </w:tc>
        <w:tc>
          <w:tcPr>
            <w:tcW w:w="2551" w:type="dxa"/>
            <w:vAlign w:val="center"/>
          </w:tcPr>
          <w:p>
            <w:pPr>
              <w:pStyle w:val="11"/>
            </w:pPr>
            <w:r>
              <w:t>263.56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84.79</w:t>
            </w:r>
          </w:p>
        </w:tc>
        <w:tc>
          <w:tcPr>
            <w:tcW w:w="2551" w:type="dxa"/>
            <w:vAlign w:val="center"/>
          </w:tcPr>
          <w:p>
            <w:pPr>
              <w:pStyle w:val="11"/>
            </w:pPr>
            <w:r>
              <w:t>84.79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38.83</w:t>
            </w:r>
          </w:p>
        </w:tc>
        <w:tc>
          <w:tcPr>
            <w:tcW w:w="2551" w:type="dxa"/>
            <w:vAlign w:val="center"/>
          </w:tcPr>
          <w:p>
            <w:pPr>
              <w:pStyle w:val="11"/>
            </w:pPr>
            <w:r>
              <w:t>38.83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14.93</w:t>
            </w:r>
          </w:p>
        </w:tc>
        <w:tc>
          <w:tcPr>
            <w:tcW w:w="2551" w:type="dxa"/>
            <w:vAlign w:val="center"/>
          </w:tcPr>
          <w:p>
            <w:pPr>
              <w:pStyle w:val="11"/>
            </w:pPr>
            <w:r>
              <w:t>14.93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65.62</w:t>
            </w:r>
          </w:p>
        </w:tc>
        <w:tc>
          <w:tcPr>
            <w:tcW w:w="2551" w:type="dxa"/>
            <w:vAlign w:val="center"/>
          </w:tcPr>
          <w:p>
            <w:pPr>
              <w:pStyle w:val="11"/>
            </w:pPr>
            <w:r>
              <w:t>65.62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23.56</w:t>
            </w:r>
          </w:p>
        </w:tc>
        <w:tc>
          <w:tcPr>
            <w:tcW w:w="2551" w:type="dxa"/>
            <w:vAlign w:val="center"/>
          </w:tcPr>
          <w:p>
            <w:pPr>
              <w:pStyle w:val="11"/>
            </w:pPr>
            <w:r>
              <w:t>23.56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8.86</w:t>
            </w:r>
          </w:p>
        </w:tc>
        <w:tc>
          <w:tcPr>
            <w:tcW w:w="2551" w:type="dxa"/>
            <w:vAlign w:val="center"/>
          </w:tcPr>
          <w:p>
            <w:pPr>
              <w:pStyle w:val="11"/>
            </w:pPr>
            <w:r>
              <w:t>8.86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pPr>
            <w:r>
              <w:t>8.56</w:t>
            </w:r>
          </w:p>
        </w:tc>
        <w:tc>
          <w:tcPr>
            <w:tcW w:w="2551" w:type="dxa"/>
            <w:vAlign w:val="center"/>
          </w:tcPr>
          <w:p>
            <w:pPr>
              <w:pStyle w:val="11"/>
            </w:pPr>
            <w:r>
              <w:t>8.56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0.74</w:t>
            </w:r>
          </w:p>
        </w:tc>
        <w:tc>
          <w:tcPr>
            <w:tcW w:w="2551" w:type="dxa"/>
            <w:vAlign w:val="center"/>
          </w:tcPr>
          <w:p>
            <w:pPr>
              <w:pStyle w:val="11"/>
            </w:pPr>
            <w:r>
              <w:t>0.74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17.67</w:t>
            </w:r>
          </w:p>
        </w:tc>
        <w:tc>
          <w:tcPr>
            <w:tcW w:w="2551" w:type="dxa"/>
            <w:vAlign w:val="center"/>
          </w:tcPr>
          <w:p>
            <w:pPr>
              <w:pStyle w:val="11"/>
            </w:pPr>
            <w:r>
              <w:t>17.67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48.99</w:t>
            </w:r>
          </w:p>
        </w:tc>
        <w:tc>
          <w:tcPr>
            <w:tcW w:w="2551" w:type="dxa"/>
            <w:vAlign w:val="center"/>
          </w:tcPr>
          <w:p>
            <w:pPr>
              <w:pStyle w:val="11"/>
            </w:pPr>
          </w:p>
        </w:tc>
        <w:tc>
          <w:tcPr>
            <w:tcW w:w="2551" w:type="dxa"/>
            <w:vAlign w:val="center"/>
          </w:tcPr>
          <w:p>
            <w:pPr>
              <w:pStyle w:val="11"/>
            </w:pPr>
            <w:r>
              <w:t>48.99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1.41</w:t>
            </w:r>
          </w:p>
        </w:tc>
        <w:tc>
          <w:tcPr>
            <w:tcW w:w="2551" w:type="dxa"/>
            <w:vAlign w:val="center"/>
          </w:tcPr>
          <w:p>
            <w:pPr>
              <w:pStyle w:val="11"/>
            </w:pPr>
          </w:p>
        </w:tc>
        <w:tc>
          <w:tcPr>
            <w:tcW w:w="2551" w:type="dxa"/>
            <w:vAlign w:val="center"/>
          </w:tcPr>
          <w:p>
            <w:pPr>
              <w:pStyle w:val="11"/>
            </w:pPr>
            <w:r>
              <w:t>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0.18</w:t>
            </w:r>
          </w:p>
        </w:tc>
        <w:tc>
          <w:tcPr>
            <w:tcW w:w="2551" w:type="dxa"/>
            <w:vAlign w:val="center"/>
          </w:tcPr>
          <w:p>
            <w:pPr>
              <w:pStyle w:val="11"/>
            </w:pPr>
          </w:p>
        </w:tc>
        <w:tc>
          <w:tcPr>
            <w:tcW w:w="2551" w:type="dxa"/>
            <w:vAlign w:val="center"/>
          </w:tcPr>
          <w:p>
            <w:pPr>
              <w:pStyle w:val="11"/>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0.54</w:t>
            </w:r>
          </w:p>
        </w:tc>
        <w:tc>
          <w:tcPr>
            <w:tcW w:w="2551" w:type="dxa"/>
            <w:vAlign w:val="center"/>
          </w:tcPr>
          <w:p>
            <w:pPr>
              <w:pStyle w:val="11"/>
            </w:pPr>
          </w:p>
        </w:tc>
        <w:tc>
          <w:tcPr>
            <w:tcW w:w="2551" w:type="dxa"/>
            <w:vAlign w:val="center"/>
          </w:tcPr>
          <w:p>
            <w:pPr>
              <w:pStyle w:val="11"/>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1.44</w:t>
            </w:r>
          </w:p>
        </w:tc>
        <w:tc>
          <w:tcPr>
            <w:tcW w:w="2551" w:type="dxa"/>
            <w:vAlign w:val="center"/>
          </w:tcPr>
          <w:p>
            <w:pPr>
              <w:pStyle w:val="11"/>
            </w:pPr>
          </w:p>
        </w:tc>
        <w:tc>
          <w:tcPr>
            <w:tcW w:w="2551" w:type="dxa"/>
            <w:vAlign w:val="center"/>
          </w:tcPr>
          <w:p>
            <w:pPr>
              <w:pStyle w:val="11"/>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10.86</w:t>
            </w:r>
          </w:p>
        </w:tc>
        <w:tc>
          <w:tcPr>
            <w:tcW w:w="2551" w:type="dxa"/>
            <w:vAlign w:val="center"/>
          </w:tcPr>
          <w:p>
            <w:pPr>
              <w:pStyle w:val="11"/>
            </w:pPr>
          </w:p>
        </w:tc>
        <w:tc>
          <w:tcPr>
            <w:tcW w:w="2551" w:type="dxa"/>
            <w:vAlign w:val="center"/>
          </w:tcPr>
          <w:p>
            <w:pPr>
              <w:pStyle w:val="11"/>
            </w:pPr>
            <w:r>
              <w:t>10.86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15.20</w:t>
            </w:r>
          </w:p>
        </w:tc>
        <w:tc>
          <w:tcPr>
            <w:tcW w:w="2551" w:type="dxa"/>
            <w:vAlign w:val="center"/>
          </w:tcPr>
          <w:p>
            <w:pPr>
              <w:pStyle w:val="11"/>
            </w:pPr>
          </w:p>
        </w:tc>
        <w:tc>
          <w:tcPr>
            <w:tcW w:w="2551" w:type="dxa"/>
            <w:vAlign w:val="center"/>
          </w:tcPr>
          <w:p>
            <w:pPr>
              <w:pStyle w:val="11"/>
            </w:pPr>
            <w:r>
              <w:t>15.20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1.80</w:t>
            </w:r>
          </w:p>
        </w:tc>
        <w:tc>
          <w:tcPr>
            <w:tcW w:w="2551" w:type="dxa"/>
            <w:vAlign w:val="center"/>
          </w:tcPr>
          <w:p>
            <w:pPr>
              <w:pStyle w:val="11"/>
            </w:pPr>
          </w:p>
        </w:tc>
        <w:tc>
          <w:tcPr>
            <w:tcW w:w="2551" w:type="dxa"/>
            <w:vAlign w:val="center"/>
          </w:tcPr>
          <w:p>
            <w:pPr>
              <w:pStyle w:val="1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1.05</w:t>
            </w:r>
          </w:p>
        </w:tc>
        <w:tc>
          <w:tcPr>
            <w:tcW w:w="2551" w:type="dxa"/>
            <w:vAlign w:val="center"/>
          </w:tcPr>
          <w:p>
            <w:pPr>
              <w:pStyle w:val="11"/>
            </w:pPr>
          </w:p>
        </w:tc>
        <w:tc>
          <w:tcPr>
            <w:tcW w:w="2551" w:type="dxa"/>
            <w:vAlign w:val="center"/>
          </w:tcPr>
          <w:p>
            <w:pPr>
              <w:pStyle w:val="11"/>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0.54</w:t>
            </w:r>
          </w:p>
        </w:tc>
        <w:tc>
          <w:tcPr>
            <w:tcW w:w="2551" w:type="dxa"/>
            <w:vAlign w:val="center"/>
          </w:tcPr>
          <w:p>
            <w:pPr>
              <w:pStyle w:val="11"/>
            </w:pPr>
          </w:p>
        </w:tc>
        <w:tc>
          <w:tcPr>
            <w:tcW w:w="2551" w:type="dxa"/>
            <w:vAlign w:val="center"/>
          </w:tcPr>
          <w:p>
            <w:pPr>
              <w:pStyle w:val="11"/>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1.21</w:t>
            </w:r>
          </w:p>
        </w:tc>
        <w:tc>
          <w:tcPr>
            <w:tcW w:w="2551" w:type="dxa"/>
            <w:vAlign w:val="center"/>
          </w:tcPr>
          <w:p>
            <w:pPr>
              <w:pStyle w:val="11"/>
            </w:pPr>
          </w:p>
        </w:tc>
        <w:tc>
          <w:tcPr>
            <w:tcW w:w="2551" w:type="dxa"/>
            <w:vAlign w:val="center"/>
          </w:tcPr>
          <w:p>
            <w:pPr>
              <w:pStyle w:val="11"/>
            </w:pPr>
            <w: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0.24</w:t>
            </w:r>
          </w:p>
        </w:tc>
        <w:tc>
          <w:tcPr>
            <w:tcW w:w="2551" w:type="dxa"/>
            <w:vAlign w:val="center"/>
          </w:tcPr>
          <w:p>
            <w:pPr>
              <w:pStyle w:val="11"/>
            </w:pPr>
          </w:p>
        </w:tc>
        <w:tc>
          <w:tcPr>
            <w:tcW w:w="2551" w:type="dxa"/>
            <w:vAlign w:val="center"/>
          </w:tcPr>
          <w:p>
            <w:pPr>
              <w:pStyle w:val="11"/>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2.94</w:t>
            </w:r>
          </w:p>
        </w:tc>
        <w:tc>
          <w:tcPr>
            <w:tcW w:w="2551" w:type="dxa"/>
            <w:vAlign w:val="center"/>
          </w:tcPr>
          <w:p>
            <w:pPr>
              <w:pStyle w:val="11"/>
            </w:pPr>
          </w:p>
        </w:tc>
        <w:tc>
          <w:tcPr>
            <w:tcW w:w="2551" w:type="dxa"/>
            <w:vAlign w:val="center"/>
          </w:tcPr>
          <w:p>
            <w:pPr>
              <w:pStyle w:val="11"/>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2.02</w:t>
            </w:r>
          </w:p>
        </w:tc>
        <w:tc>
          <w:tcPr>
            <w:tcW w:w="2551" w:type="dxa"/>
            <w:vAlign w:val="center"/>
          </w:tcPr>
          <w:p>
            <w:pPr>
              <w:pStyle w:val="11"/>
            </w:pPr>
          </w:p>
        </w:tc>
        <w:tc>
          <w:tcPr>
            <w:tcW w:w="2551" w:type="dxa"/>
            <w:vAlign w:val="center"/>
          </w:tcPr>
          <w:p>
            <w:pPr>
              <w:pStyle w:val="11"/>
            </w:pPr>
            <w: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2.38</w:t>
            </w:r>
          </w:p>
        </w:tc>
        <w:tc>
          <w:tcPr>
            <w:tcW w:w="2551" w:type="dxa"/>
            <w:vAlign w:val="center"/>
          </w:tcPr>
          <w:p>
            <w:pPr>
              <w:pStyle w:val="11"/>
            </w:pPr>
          </w:p>
        </w:tc>
        <w:tc>
          <w:tcPr>
            <w:tcW w:w="2551" w:type="dxa"/>
            <w:vAlign w:val="center"/>
          </w:tcPr>
          <w:p>
            <w:pPr>
              <w:pStyle w:val="11"/>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7.13</w:t>
            </w:r>
          </w:p>
        </w:tc>
        <w:tc>
          <w:tcPr>
            <w:tcW w:w="2551" w:type="dxa"/>
            <w:vAlign w:val="center"/>
          </w:tcPr>
          <w:p>
            <w:pPr>
              <w:pStyle w:val="11"/>
            </w:pPr>
          </w:p>
        </w:tc>
        <w:tc>
          <w:tcPr>
            <w:tcW w:w="2551" w:type="dxa"/>
            <w:vAlign w:val="center"/>
          </w:tcPr>
          <w:p>
            <w:pPr>
              <w:pStyle w:val="11"/>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0.05</w:t>
            </w:r>
          </w:p>
        </w:tc>
        <w:tc>
          <w:tcPr>
            <w:tcW w:w="2551" w:type="dxa"/>
            <w:vAlign w:val="center"/>
          </w:tcPr>
          <w:p>
            <w:pPr>
              <w:pStyle w:val="11"/>
            </w:pPr>
          </w:p>
        </w:tc>
        <w:tc>
          <w:tcPr>
            <w:tcW w:w="2551" w:type="dxa"/>
            <w:vAlign w:val="center"/>
          </w:tcPr>
          <w:p>
            <w:pPr>
              <w:pStyle w:val="11"/>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142.31</w:t>
            </w:r>
          </w:p>
        </w:tc>
        <w:tc>
          <w:tcPr>
            <w:tcW w:w="2551" w:type="dxa"/>
            <w:vAlign w:val="center"/>
          </w:tcPr>
          <w:p>
            <w:pPr>
              <w:pStyle w:val="11"/>
            </w:pPr>
            <w:r>
              <w:t>142.31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120.09</w:t>
            </w:r>
          </w:p>
        </w:tc>
        <w:tc>
          <w:tcPr>
            <w:tcW w:w="2551" w:type="dxa"/>
            <w:vAlign w:val="center"/>
          </w:tcPr>
          <w:p>
            <w:pPr>
              <w:pStyle w:val="11"/>
            </w:pPr>
            <w:r>
              <w:t>120.09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30307</w:t>
            </w:r>
          </w:p>
        </w:tc>
        <w:tc>
          <w:tcPr>
            <w:tcW w:w="4535" w:type="dxa"/>
            <w:vAlign w:val="center"/>
          </w:tcPr>
          <w:p>
            <w:pPr>
              <w:pStyle w:val="12"/>
            </w:pPr>
            <w:r>
              <w:t>医疗费补助</w:t>
            </w:r>
          </w:p>
        </w:tc>
        <w:tc>
          <w:tcPr>
            <w:tcW w:w="2551" w:type="dxa"/>
            <w:vAlign w:val="center"/>
          </w:tcPr>
          <w:p>
            <w:pPr>
              <w:pStyle w:val="11"/>
            </w:pPr>
            <w:r>
              <w:t>22.20</w:t>
            </w:r>
          </w:p>
        </w:tc>
        <w:tc>
          <w:tcPr>
            <w:tcW w:w="2551" w:type="dxa"/>
            <w:vAlign w:val="center"/>
          </w:tcPr>
          <w:p>
            <w:pPr>
              <w:pStyle w:val="11"/>
            </w:pPr>
            <w:r>
              <w:t>22.20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0.02</w:t>
            </w:r>
          </w:p>
        </w:tc>
        <w:tc>
          <w:tcPr>
            <w:tcW w:w="2551" w:type="dxa"/>
            <w:vAlign w:val="center"/>
          </w:tcPr>
          <w:p>
            <w:pPr>
              <w:pStyle w:val="11"/>
            </w:pPr>
            <w:r>
              <w:t>0.02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cs="方正小标宋_GBK" w:asciiTheme="minorEastAsia" w:hAnsiTheme="minorEastAsia" w:eastAsiaTheme="minorEastAsia"/>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cs="方正小标宋_GBK" w:asciiTheme="minorEastAsia" w:hAnsiTheme="minorEastAsia" w:eastAsiaTheme="minorEastAsia"/>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cs="方正小标宋_GBK" w:asciiTheme="minorEastAsia" w:hAnsiTheme="minorEastAsia" w:eastAsiaTheme="minorEastAsia"/>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2"/>
        <w:gridCol w:w="3767"/>
        <w:gridCol w:w="2365"/>
        <w:gridCol w:w="2361"/>
        <w:gridCol w:w="2361"/>
        <w:gridCol w:w="23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tblHeader/>
          <w:jc w:val="center"/>
        </w:trPr>
        <w:tc>
          <w:tcPr>
            <w:tcW w:w="6974" w:type="dxa"/>
            <w:gridSpan w:val="3"/>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2361" w:type="dxa"/>
            <w:tcBorders>
              <w:top w:val="single" w:color="FFFFFF" w:sz="6" w:space="0"/>
              <w:left w:val="single" w:color="FFFFFF" w:sz="6" w:space="0"/>
              <w:right w:val="single" w:color="FFFFFF" w:sz="6" w:space="0"/>
            </w:tcBorders>
            <w:vAlign w:val="center"/>
          </w:tcPr>
          <w:p>
            <w:pPr>
              <w:pStyle w:val="8"/>
            </w:pPr>
            <w:r>
              <w:t>预算年度：2022</w:t>
            </w:r>
          </w:p>
        </w:tc>
        <w:tc>
          <w:tcPr>
            <w:tcW w:w="4724"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tblHeader/>
          <w:jc w:val="center"/>
        </w:trPr>
        <w:tc>
          <w:tcPr>
            <w:tcW w:w="842" w:type="dxa"/>
            <w:vMerge w:val="restart"/>
            <w:vAlign w:val="center"/>
          </w:tcPr>
          <w:p>
            <w:pPr>
              <w:pStyle w:val="10"/>
            </w:pPr>
            <w:r>
              <w:t>序号</w:t>
            </w:r>
          </w:p>
        </w:tc>
        <w:tc>
          <w:tcPr>
            <w:tcW w:w="3767" w:type="dxa"/>
            <w:vMerge w:val="restart"/>
            <w:vAlign w:val="center"/>
          </w:tcPr>
          <w:p>
            <w:pPr>
              <w:pStyle w:val="10"/>
            </w:pPr>
            <w:r>
              <w:t>项  目</w:t>
            </w:r>
          </w:p>
        </w:tc>
        <w:tc>
          <w:tcPr>
            <w:tcW w:w="9450"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tblHeader/>
          <w:jc w:val="center"/>
        </w:trPr>
        <w:tc>
          <w:tcPr>
            <w:tcW w:w="842" w:type="dxa"/>
            <w:vMerge w:val="continue"/>
          </w:tcPr>
          <w:p/>
        </w:tc>
        <w:tc>
          <w:tcPr>
            <w:tcW w:w="3767" w:type="dxa"/>
            <w:vMerge w:val="continue"/>
          </w:tcPr>
          <w:p/>
        </w:tc>
        <w:tc>
          <w:tcPr>
            <w:tcW w:w="2365" w:type="dxa"/>
            <w:vAlign w:val="center"/>
          </w:tcPr>
          <w:p>
            <w:pPr>
              <w:pStyle w:val="10"/>
            </w:pPr>
            <w:r>
              <w:t>合计</w:t>
            </w:r>
          </w:p>
        </w:tc>
        <w:tc>
          <w:tcPr>
            <w:tcW w:w="2361" w:type="dxa"/>
            <w:vAlign w:val="center"/>
          </w:tcPr>
          <w:p>
            <w:pPr>
              <w:pStyle w:val="10"/>
            </w:pPr>
            <w:r>
              <w:t>一般公共预算              财政拨款</w:t>
            </w:r>
          </w:p>
        </w:tc>
        <w:tc>
          <w:tcPr>
            <w:tcW w:w="2361" w:type="dxa"/>
            <w:vAlign w:val="center"/>
          </w:tcPr>
          <w:p>
            <w:pPr>
              <w:pStyle w:val="10"/>
            </w:pPr>
            <w:r>
              <w:t>政府性基金                  预算拨款</w:t>
            </w:r>
          </w:p>
        </w:tc>
        <w:tc>
          <w:tcPr>
            <w:tcW w:w="236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blHeader/>
          <w:jc w:val="center"/>
        </w:trPr>
        <w:tc>
          <w:tcPr>
            <w:tcW w:w="842" w:type="dxa"/>
            <w:vAlign w:val="center"/>
          </w:tcPr>
          <w:p>
            <w:pPr>
              <w:pStyle w:val="10"/>
            </w:pPr>
            <w:r>
              <w:t>栏次</w:t>
            </w:r>
          </w:p>
        </w:tc>
        <w:tc>
          <w:tcPr>
            <w:tcW w:w="3767" w:type="dxa"/>
            <w:vAlign w:val="center"/>
          </w:tcPr>
          <w:p>
            <w:pPr>
              <w:pStyle w:val="10"/>
            </w:pPr>
            <w:r>
              <w:t>1</w:t>
            </w:r>
          </w:p>
        </w:tc>
        <w:tc>
          <w:tcPr>
            <w:tcW w:w="2365" w:type="dxa"/>
            <w:vAlign w:val="center"/>
          </w:tcPr>
          <w:p>
            <w:pPr>
              <w:pStyle w:val="10"/>
            </w:pPr>
            <w:r>
              <w:t>2</w:t>
            </w:r>
          </w:p>
        </w:tc>
        <w:tc>
          <w:tcPr>
            <w:tcW w:w="2361" w:type="dxa"/>
            <w:vAlign w:val="center"/>
          </w:tcPr>
          <w:p>
            <w:pPr>
              <w:pStyle w:val="10"/>
            </w:pPr>
            <w:r>
              <w:t>3</w:t>
            </w:r>
          </w:p>
        </w:tc>
        <w:tc>
          <w:tcPr>
            <w:tcW w:w="2361" w:type="dxa"/>
            <w:vAlign w:val="center"/>
          </w:tcPr>
          <w:p>
            <w:pPr>
              <w:pStyle w:val="10"/>
            </w:pPr>
            <w:r>
              <w:t>4</w:t>
            </w:r>
          </w:p>
        </w:tc>
        <w:tc>
          <w:tcPr>
            <w:tcW w:w="236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1</w:t>
            </w:r>
          </w:p>
        </w:tc>
        <w:tc>
          <w:tcPr>
            <w:tcW w:w="3767" w:type="dxa"/>
            <w:vAlign w:val="center"/>
          </w:tcPr>
          <w:p>
            <w:pPr>
              <w:pStyle w:val="14"/>
            </w:pPr>
            <w:r>
              <w:t>合计</w:t>
            </w:r>
          </w:p>
        </w:tc>
        <w:tc>
          <w:tcPr>
            <w:tcW w:w="2365" w:type="dxa"/>
            <w:vAlign w:val="center"/>
          </w:tcPr>
          <w:p>
            <w:pPr>
              <w:pStyle w:val="15"/>
            </w:pPr>
            <w:r>
              <w:t>3.83</w:t>
            </w:r>
          </w:p>
        </w:tc>
        <w:tc>
          <w:tcPr>
            <w:tcW w:w="2361" w:type="dxa"/>
            <w:vAlign w:val="center"/>
          </w:tcPr>
          <w:p>
            <w:pPr>
              <w:pStyle w:val="15"/>
            </w:pPr>
            <w:r>
              <w:t>3.83</w:t>
            </w:r>
          </w:p>
        </w:tc>
        <w:tc>
          <w:tcPr>
            <w:tcW w:w="2361" w:type="dxa"/>
            <w:vAlign w:val="center"/>
          </w:tcPr>
          <w:p>
            <w:pPr>
              <w:pStyle w:val="15"/>
            </w:pPr>
          </w:p>
        </w:tc>
        <w:tc>
          <w:tcPr>
            <w:tcW w:w="236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2</w:t>
            </w:r>
          </w:p>
        </w:tc>
        <w:tc>
          <w:tcPr>
            <w:tcW w:w="3767" w:type="dxa"/>
            <w:vAlign w:val="center"/>
          </w:tcPr>
          <w:p>
            <w:pPr>
              <w:pStyle w:val="12"/>
            </w:pPr>
            <w:r>
              <w:t>“三公”经费小计</w:t>
            </w:r>
          </w:p>
        </w:tc>
        <w:tc>
          <w:tcPr>
            <w:tcW w:w="2365" w:type="dxa"/>
            <w:vAlign w:val="center"/>
          </w:tcPr>
          <w:p>
            <w:pPr>
              <w:pStyle w:val="11"/>
            </w:pPr>
            <w:r>
              <w:t>2.62</w:t>
            </w:r>
          </w:p>
        </w:tc>
        <w:tc>
          <w:tcPr>
            <w:tcW w:w="2361" w:type="dxa"/>
            <w:vAlign w:val="center"/>
          </w:tcPr>
          <w:p>
            <w:pPr>
              <w:pStyle w:val="11"/>
            </w:pPr>
            <w:r>
              <w:t>2.62</w:t>
            </w: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3</w:t>
            </w:r>
          </w:p>
        </w:tc>
        <w:tc>
          <w:tcPr>
            <w:tcW w:w="3767" w:type="dxa"/>
            <w:vAlign w:val="center"/>
          </w:tcPr>
          <w:p>
            <w:pPr>
              <w:pStyle w:val="12"/>
            </w:pPr>
            <w:r>
              <w:t>一、因公出国（境）费</w:t>
            </w:r>
          </w:p>
        </w:tc>
        <w:tc>
          <w:tcPr>
            <w:tcW w:w="2365" w:type="dxa"/>
            <w:vAlign w:val="center"/>
          </w:tcPr>
          <w:p>
            <w:pPr>
              <w:pStyle w:val="11"/>
            </w:pPr>
          </w:p>
        </w:tc>
        <w:tc>
          <w:tcPr>
            <w:tcW w:w="2361" w:type="dxa"/>
            <w:vAlign w:val="center"/>
          </w:tcPr>
          <w:p>
            <w:pPr>
              <w:pStyle w:val="11"/>
            </w:pP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842" w:type="dxa"/>
            <w:vAlign w:val="center"/>
          </w:tcPr>
          <w:p>
            <w:pPr>
              <w:pStyle w:val="13"/>
            </w:pPr>
            <w:r>
              <w:t>4</w:t>
            </w:r>
          </w:p>
        </w:tc>
        <w:tc>
          <w:tcPr>
            <w:tcW w:w="3767" w:type="dxa"/>
            <w:vAlign w:val="center"/>
          </w:tcPr>
          <w:p>
            <w:pPr>
              <w:pStyle w:val="12"/>
            </w:pPr>
            <w:r>
              <w:t xml:space="preserve">    其中：教学科研人员因公出国（境）费</w:t>
            </w:r>
          </w:p>
        </w:tc>
        <w:tc>
          <w:tcPr>
            <w:tcW w:w="2365" w:type="dxa"/>
            <w:vAlign w:val="center"/>
          </w:tcPr>
          <w:p>
            <w:pPr>
              <w:pStyle w:val="11"/>
            </w:pPr>
          </w:p>
        </w:tc>
        <w:tc>
          <w:tcPr>
            <w:tcW w:w="2361" w:type="dxa"/>
            <w:vAlign w:val="center"/>
          </w:tcPr>
          <w:p>
            <w:pPr>
              <w:pStyle w:val="11"/>
            </w:pP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5</w:t>
            </w:r>
          </w:p>
        </w:tc>
        <w:tc>
          <w:tcPr>
            <w:tcW w:w="3767" w:type="dxa"/>
            <w:vAlign w:val="center"/>
          </w:tcPr>
          <w:p>
            <w:pPr>
              <w:pStyle w:val="12"/>
            </w:pPr>
            <w:r>
              <w:t xml:space="preserve">          其他因公出国（境）费</w:t>
            </w:r>
          </w:p>
        </w:tc>
        <w:tc>
          <w:tcPr>
            <w:tcW w:w="2365" w:type="dxa"/>
            <w:vAlign w:val="center"/>
          </w:tcPr>
          <w:p>
            <w:pPr>
              <w:pStyle w:val="11"/>
            </w:pPr>
          </w:p>
        </w:tc>
        <w:tc>
          <w:tcPr>
            <w:tcW w:w="2361" w:type="dxa"/>
            <w:vAlign w:val="center"/>
          </w:tcPr>
          <w:p>
            <w:pPr>
              <w:pStyle w:val="11"/>
            </w:pP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6</w:t>
            </w:r>
          </w:p>
        </w:tc>
        <w:tc>
          <w:tcPr>
            <w:tcW w:w="3767" w:type="dxa"/>
            <w:vAlign w:val="center"/>
          </w:tcPr>
          <w:p>
            <w:pPr>
              <w:pStyle w:val="12"/>
            </w:pPr>
            <w:r>
              <w:t>二、公务用车购置及运维费</w:t>
            </w:r>
          </w:p>
        </w:tc>
        <w:tc>
          <w:tcPr>
            <w:tcW w:w="2365" w:type="dxa"/>
            <w:vAlign w:val="center"/>
          </w:tcPr>
          <w:p>
            <w:pPr>
              <w:pStyle w:val="11"/>
            </w:pPr>
            <w:r>
              <w:t>2.38</w:t>
            </w:r>
          </w:p>
        </w:tc>
        <w:tc>
          <w:tcPr>
            <w:tcW w:w="2361" w:type="dxa"/>
            <w:vAlign w:val="center"/>
          </w:tcPr>
          <w:p>
            <w:pPr>
              <w:pStyle w:val="11"/>
            </w:pPr>
            <w:r>
              <w:t>2.38</w:t>
            </w: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7</w:t>
            </w:r>
          </w:p>
        </w:tc>
        <w:tc>
          <w:tcPr>
            <w:tcW w:w="3767" w:type="dxa"/>
            <w:vAlign w:val="center"/>
          </w:tcPr>
          <w:p>
            <w:pPr>
              <w:pStyle w:val="12"/>
            </w:pPr>
            <w:r>
              <w:t xml:space="preserve">    其中：公务用车购置费</w:t>
            </w:r>
          </w:p>
        </w:tc>
        <w:tc>
          <w:tcPr>
            <w:tcW w:w="2365" w:type="dxa"/>
            <w:vAlign w:val="center"/>
          </w:tcPr>
          <w:p>
            <w:pPr>
              <w:pStyle w:val="11"/>
            </w:pPr>
          </w:p>
        </w:tc>
        <w:tc>
          <w:tcPr>
            <w:tcW w:w="2361" w:type="dxa"/>
            <w:vAlign w:val="center"/>
          </w:tcPr>
          <w:p>
            <w:pPr>
              <w:pStyle w:val="11"/>
            </w:pP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8</w:t>
            </w:r>
          </w:p>
        </w:tc>
        <w:tc>
          <w:tcPr>
            <w:tcW w:w="3767" w:type="dxa"/>
            <w:vAlign w:val="center"/>
          </w:tcPr>
          <w:p>
            <w:pPr>
              <w:pStyle w:val="12"/>
            </w:pPr>
            <w:r>
              <w:t xml:space="preserve">          公务用车运行维护费</w:t>
            </w:r>
          </w:p>
        </w:tc>
        <w:tc>
          <w:tcPr>
            <w:tcW w:w="2365" w:type="dxa"/>
            <w:vAlign w:val="center"/>
          </w:tcPr>
          <w:p>
            <w:pPr>
              <w:pStyle w:val="11"/>
            </w:pPr>
            <w:r>
              <w:t>2.38</w:t>
            </w:r>
          </w:p>
        </w:tc>
        <w:tc>
          <w:tcPr>
            <w:tcW w:w="2361" w:type="dxa"/>
            <w:vAlign w:val="center"/>
          </w:tcPr>
          <w:p>
            <w:pPr>
              <w:pStyle w:val="11"/>
            </w:pPr>
            <w:r>
              <w:t>2.38</w:t>
            </w: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9</w:t>
            </w:r>
          </w:p>
        </w:tc>
        <w:tc>
          <w:tcPr>
            <w:tcW w:w="3767" w:type="dxa"/>
            <w:vAlign w:val="center"/>
          </w:tcPr>
          <w:p>
            <w:pPr>
              <w:pStyle w:val="12"/>
            </w:pPr>
            <w:r>
              <w:t>三、公务接待费</w:t>
            </w:r>
          </w:p>
        </w:tc>
        <w:tc>
          <w:tcPr>
            <w:tcW w:w="2365" w:type="dxa"/>
            <w:vAlign w:val="center"/>
          </w:tcPr>
          <w:p>
            <w:pPr>
              <w:pStyle w:val="11"/>
            </w:pPr>
            <w:r>
              <w:t>0.24</w:t>
            </w:r>
          </w:p>
        </w:tc>
        <w:tc>
          <w:tcPr>
            <w:tcW w:w="2361" w:type="dxa"/>
            <w:vAlign w:val="center"/>
          </w:tcPr>
          <w:p>
            <w:pPr>
              <w:pStyle w:val="11"/>
            </w:pPr>
            <w:r>
              <w:t>0.24</w:t>
            </w: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jc w:val="center"/>
        </w:trPr>
        <w:tc>
          <w:tcPr>
            <w:tcW w:w="842" w:type="dxa"/>
            <w:vAlign w:val="center"/>
          </w:tcPr>
          <w:p>
            <w:pPr>
              <w:pStyle w:val="13"/>
            </w:pPr>
            <w:r>
              <w:t>10</w:t>
            </w:r>
          </w:p>
        </w:tc>
        <w:tc>
          <w:tcPr>
            <w:tcW w:w="3767" w:type="dxa"/>
            <w:vAlign w:val="center"/>
          </w:tcPr>
          <w:p>
            <w:pPr>
              <w:pStyle w:val="12"/>
            </w:pPr>
            <w:r>
              <w:t>四、会议费</w:t>
            </w:r>
          </w:p>
        </w:tc>
        <w:tc>
          <w:tcPr>
            <w:tcW w:w="2365" w:type="dxa"/>
            <w:vAlign w:val="center"/>
          </w:tcPr>
          <w:p>
            <w:pPr>
              <w:pStyle w:val="11"/>
            </w:pPr>
          </w:p>
        </w:tc>
        <w:tc>
          <w:tcPr>
            <w:tcW w:w="2361" w:type="dxa"/>
            <w:vAlign w:val="center"/>
          </w:tcPr>
          <w:p>
            <w:pPr>
              <w:pStyle w:val="11"/>
            </w:pPr>
          </w:p>
        </w:tc>
        <w:tc>
          <w:tcPr>
            <w:tcW w:w="2361" w:type="dxa"/>
            <w:vAlign w:val="center"/>
          </w:tcPr>
          <w:p>
            <w:pPr>
              <w:pStyle w:val="11"/>
            </w:pPr>
          </w:p>
        </w:tc>
        <w:tc>
          <w:tcPr>
            <w:tcW w:w="23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842" w:type="dxa"/>
            <w:vAlign w:val="center"/>
          </w:tcPr>
          <w:p>
            <w:pPr>
              <w:pStyle w:val="13"/>
            </w:pPr>
            <w:r>
              <w:t>11</w:t>
            </w:r>
          </w:p>
        </w:tc>
        <w:tc>
          <w:tcPr>
            <w:tcW w:w="3767" w:type="dxa"/>
            <w:vAlign w:val="center"/>
          </w:tcPr>
          <w:p>
            <w:pPr>
              <w:pStyle w:val="12"/>
            </w:pPr>
            <w:r>
              <w:t>五、培训费</w:t>
            </w:r>
          </w:p>
        </w:tc>
        <w:tc>
          <w:tcPr>
            <w:tcW w:w="2365" w:type="dxa"/>
            <w:vAlign w:val="center"/>
          </w:tcPr>
          <w:p>
            <w:pPr>
              <w:pStyle w:val="11"/>
            </w:pPr>
            <w:r>
              <w:t>1.21</w:t>
            </w:r>
          </w:p>
        </w:tc>
        <w:tc>
          <w:tcPr>
            <w:tcW w:w="2361" w:type="dxa"/>
            <w:vAlign w:val="center"/>
          </w:tcPr>
          <w:p>
            <w:pPr>
              <w:pStyle w:val="11"/>
            </w:pPr>
            <w:r>
              <w:t>1.21</w:t>
            </w:r>
          </w:p>
        </w:tc>
        <w:tc>
          <w:tcPr>
            <w:tcW w:w="2361" w:type="dxa"/>
            <w:vAlign w:val="center"/>
          </w:tcPr>
          <w:p>
            <w:pPr>
              <w:pStyle w:val="11"/>
            </w:pPr>
          </w:p>
        </w:tc>
        <w:tc>
          <w:tcPr>
            <w:tcW w:w="2363" w:type="dxa"/>
            <w:vAlign w:val="center"/>
          </w:tcPr>
          <w:p>
            <w:pPr>
              <w:pStyle w:val="11"/>
            </w:pPr>
          </w:p>
        </w:tc>
      </w:tr>
    </w:tbl>
    <w:p>
      <w:p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局2公开情况说明</w:t>
      </w:r>
    </w:p>
    <w:p>
      <w:pPr>
        <w:jc w:val="center"/>
      </w:pPr>
      <w:r>
        <w:rPr>
          <w:rFonts w:ascii="方正小标宋_GBK" w:hAnsi="方正小标宋_GBK" w:eastAsia="方正小标宋_GBK" w:cs="方正小标宋_GBK"/>
          <w:color w:val="000000"/>
          <w:sz w:val="44"/>
        </w:rPr>
        <w:t>中国共产党霸州市委老干部局2022年</w:t>
      </w:r>
      <w:r>
        <w:rPr>
          <w:rFonts w:hint="eastAsia" w:cs="方正小标宋_GBK" w:asciiTheme="minorEastAsia" w:hAnsiTheme="minorEastAsia" w:eastAsiaTheme="minorEastAsia"/>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按照《预算法》、《地方预决算公开操作规程》和《关于进一步推进预算公开工作的实施意见》规定，现将中国共产党霸州市委老干部局2022年</w:t>
      </w:r>
      <w:r>
        <w:rPr>
          <w:rFonts w:hint="eastAsia" w:asciiTheme="minorEastAsia" w:hAnsiTheme="minorEastAsia" w:eastAsiaTheme="minorEastAsia"/>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一、根据《中共廊坊市委办公室廊坊市人民政府办公室关于印发＜霸州市机构改革方案＞的通知》（廊办字[2018]72号），制定本规定。  二、中共霸州市委老干部局（简称市委老干部局）为市委主管离退休干部工作的工作机关，机构规格正科级，归口市委组织部管理。</w:t>
      </w:r>
    </w:p>
    <w:p>
      <w:pPr>
        <w:pStyle w:val="17"/>
      </w:pPr>
      <w:r>
        <w:t>三、 市委老干部局的主要职责是：</w:t>
      </w:r>
    </w:p>
    <w:p>
      <w:pPr>
        <w:pStyle w:val="17"/>
      </w:pPr>
      <w:r>
        <w:t>（一）全面贯彻加强党对离退休干部工作集中统一领导要求。负责宣传落实党中央国务院、省委省政府、廊坊市委市政府和霸州市委市政府关于离退休干部工作的方针政策；拟定或参与拟定全市离退休干部工作有关具体规定和办法；总结宣传全市离退休干部工作先进典型。</w:t>
      </w:r>
    </w:p>
    <w:p>
      <w:pPr>
        <w:pStyle w:val="17"/>
      </w:pPr>
      <w:r>
        <w:t>（二）组织和协调有关部门做好离退休干部工作。</w:t>
      </w:r>
    </w:p>
    <w:p>
      <w:pPr>
        <w:pStyle w:val="17"/>
      </w:pPr>
      <w:r>
        <w:t>（三）负责督促各部门落实离退休干部的政治和生活待遇，做好走访慰问工作。抓好离休干部“两费”（离休费、医药费）的落实；调查研究离退休干部政治和生活待遇中存在的问题，协调有关部门提出解决办法。</w:t>
      </w:r>
    </w:p>
    <w:p>
      <w:pPr>
        <w:pStyle w:val="17"/>
      </w:pPr>
      <w:r>
        <w:t>（四）加强对全市离退休干部的政治引领和教育管理。组织拟定和研究制定加强新形式下离退休干部党组织建设、做好离退休干部思想政治工作的制度办法和措施；指导加强离退休干部党组织书记的教育和培训工作。</w:t>
      </w:r>
    </w:p>
    <w:p>
      <w:pPr>
        <w:pStyle w:val="17"/>
      </w:pPr>
      <w:r>
        <w:t>（五）指导老干部活动中心、老年大学和医疗门诊部等学习活动阵地的建设与管理。</w:t>
      </w:r>
    </w:p>
    <w:p>
      <w:pPr>
        <w:pStyle w:val="17"/>
      </w:pPr>
      <w:r>
        <w:t>（六）指导各单位组织离退休干部利用自身优势，在政治、经济、文化和青少年教育等各领域发挥作用，增添正能量。</w:t>
      </w:r>
    </w:p>
    <w:p>
      <w:pPr>
        <w:pStyle w:val="17"/>
      </w:pPr>
      <w:r>
        <w:t>（七）了解离退休干部的医疗保健方面的意见和要求。组织指导离退休干部开展健康科学的文化健身、保健讲座、健康疗养、参观学习。</w:t>
      </w:r>
    </w:p>
    <w:p>
      <w:pPr>
        <w:pStyle w:val="17"/>
      </w:pPr>
      <w:r>
        <w:t>（八）负责异地安置离休干部的服务管理工作；代市政府办理补发离休荣誉证。</w:t>
      </w:r>
    </w:p>
    <w:p>
      <w:pPr>
        <w:pStyle w:val="17"/>
      </w:pPr>
      <w:r>
        <w:t>（九）负责回市老干部探亲访友和各省区市老干部工作部门到本市的联络接待工作。</w:t>
      </w:r>
    </w:p>
    <w:p>
      <w:pPr>
        <w:pStyle w:val="17"/>
      </w:pPr>
      <w:r>
        <w:t>（十）会同有关部门拟定治丧办法。指导逝世老干部的善后工作，协助承办市委交办的丧葬事宜。</w:t>
      </w:r>
    </w:p>
    <w:p>
      <w:pPr>
        <w:pStyle w:val="17"/>
      </w:pPr>
      <w:r>
        <w:t>（十一）承担市老干部工作领导小组的日常工作。</w:t>
      </w:r>
    </w:p>
    <w:p>
      <w:pPr>
        <w:pStyle w:val="17"/>
      </w:pPr>
      <w:r>
        <w:t>（十二）完成市委交办的其他任务。</w:t>
      </w:r>
    </w:p>
    <w:p>
      <w:pPr>
        <w:pStyle w:val="17"/>
      </w:pPr>
      <w:r>
        <w:t>四、 市委老干部局设下列内设机构：</w:t>
      </w:r>
    </w:p>
    <w:p>
      <w:pPr>
        <w:pStyle w:val="17"/>
      </w:pPr>
      <w:r>
        <w:t>（一）办公室。负责机关日常运转及财务、文秘、档案、机要、保密、信访、督导、会务、政务公开等行政后勤服务工作；负责市委老干部领导小组的日常工作；负责调查了解全市离退休干部的工作情况，为市委提供决策依据；负责协调组织老干部工作人员的培训工作；负责机关信息化建设；负责机关人事工作；牵头做好机关党风廉政建设和精神文明建设工作；负责做好机关绩效考核工作；指导老年大学工作。</w:t>
      </w:r>
    </w:p>
    <w:p>
      <w:pPr>
        <w:pStyle w:val="17"/>
      </w:pPr>
      <w:r>
        <w:t>（二）党建工作股。负责抓好党中央国务院、省委省政府、廊坊市委市政府和霸州市委市政府关于加强离退休干部党的建设各项政策落实，全面提升离退休干部党组织的组织力。负责对全市基层离退休干部党建工作进行指导和督促协调；负责组织全市离退休干部开展主题教育活动，利用自身优势，积极发挥作用，凝聚正能量；加强调查研究，及时向市委提出改进离退休干部党建工作的意见建议；负责党中央国务院、省委省政府、廊坊市委市政府和霸州市委市政府关于离退休干部工作方针政策及老干部工作典型经验的宣传报道工作。</w:t>
      </w:r>
    </w:p>
    <w:p>
      <w:pPr>
        <w:pStyle w:val="17"/>
      </w:pPr>
      <w:r>
        <w:t>（三）服务管理股。负责检查指导离退休干部政治和生活待遇的落实。组织和参与拟订落实有关待遇的具体规定和办法；研究探索加强离退休干部精准服务的体制机制；负责组织协调市级老领导及全市离退休干部参加政治、文化、体育活动；负责做好异地安置离休干部服务管理工作；负责调查了解全市离退休干部服务管理方面的意见建议和诉求，做好走访慰问工作；负责全市离退休干部的统计和信息库工作；会同有关部门拟订治丧办法，协助承办市委交办的丧葬事宜。</w:t>
      </w:r>
    </w:p>
    <w:p>
      <w:pPr>
        <w:pStyle w:val="17"/>
      </w:pPr>
      <w:r>
        <w:t>（四）关心下一代工作委员会办公室。贯彻落实关于关心教育下一代工作的方针、政策；负责建立健全全市关心下一代工作网络；协调指导市直和乡镇关工委组织开展工作；发动、组织全市离退休人员和有关人士，做关心教育下一代工作，为青少年健康成长办好事、办实事，帮教挽救失足青少年；总结推广典型经验。  五、市委老干部局机关编制11名（行政编制9名、锁定事业编制2名），其中正科级领导职数1名、副科级领导职数2名、股级职数4名。</w:t>
      </w:r>
    </w:p>
    <w:p>
      <w:pPr>
        <w:pStyle w:val="17"/>
      </w:pPr>
      <w:r>
        <w:t xml:space="preserve">六、 市委老干部局所属事业单位的设置、职责和编制事项另行规定。  </w:t>
      </w:r>
    </w:p>
    <w:p>
      <w:pPr>
        <w:pStyle w:val="17"/>
      </w:pPr>
      <w:r>
        <w:t>七、本规定具体解释工作由中共霸州市委机构编制委员会办公室承担，其调整由中共霸州市委机构编制委员会办公室按规定程序办理。</w:t>
      </w:r>
    </w:p>
    <w:p>
      <w:pPr>
        <w:pStyle w:val="17"/>
      </w:pPr>
      <w:r>
        <w:t>八、 本规定自2019年3月15日起施行。</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hint="eastAsia" w:cs="方正小标宋_GBK" w:asciiTheme="minorEastAsia" w:hAnsiTheme="minorEastAsia" w:eastAsiaTheme="minorEastAsia"/>
          <w:color w:val="000000"/>
          <w:sz w:val="32"/>
          <w:lang w:eastAsia="zh-CN"/>
        </w:rPr>
        <w:t>单位</w:t>
      </w:r>
      <w:r>
        <w:rPr>
          <w:rFonts w:ascii="方正小标宋_GBK" w:hAnsi="方正小标宋_GBK" w:eastAsia="方正小标宋_GBK" w:cs="方正小标宋_GBK"/>
          <w:color w:val="000000"/>
          <w:sz w:val="32"/>
        </w:rPr>
        <w:t>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中国共产党霸州市委老干部局本级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ind w:firstLine="640"/>
        <w:rPr>
          <w:rFonts w:eastAsia="方正仿宋_GBK"/>
          <w:color w:val="000000"/>
          <w:sz w:val="28"/>
        </w:rPr>
      </w:pPr>
      <w:r>
        <w:rPr>
          <w:rFonts w:eastAsia="方正仿宋_GBK"/>
          <w:color w:val="000000"/>
          <w:sz w:val="28"/>
        </w:rPr>
        <w:t>按照预算管理有关规定，目前我省</w:t>
      </w:r>
      <w:r>
        <w:rPr>
          <w:rFonts w:hint="eastAsia" w:asciiTheme="minorEastAsia" w:hAnsiTheme="minorEastAsia" w:eastAsiaTheme="minorEastAsia"/>
          <w:color w:val="000000"/>
          <w:sz w:val="28"/>
          <w:lang w:eastAsia="zh-CN"/>
        </w:rPr>
        <w:t>单位</w:t>
      </w:r>
      <w:r>
        <w:rPr>
          <w:rFonts w:eastAsia="方正仿宋_GBK"/>
          <w:color w:val="000000"/>
          <w:sz w:val="28"/>
        </w:rPr>
        <w:t>预算的编制实行综合预算管理，即全部收入和支出都反映在预算中。中国共产党霸州市委老干部局机关及所属事业单位的收支包含在部门预算中。</w:t>
      </w:r>
    </w:p>
    <w:p>
      <w:pPr>
        <w:ind w:firstLine="640"/>
        <w:rPr>
          <w:rFonts w:ascii="楷体_GB2312" w:eastAsia="楷体_GB2312"/>
          <w:b/>
          <w:sz w:val="32"/>
          <w:szCs w:val="32"/>
        </w:rPr>
      </w:pPr>
      <w:r>
        <w:rPr>
          <w:rFonts w:hint="eastAsia" w:ascii="楷体_GB2312" w:eastAsia="楷体_GB2312"/>
          <w:b/>
          <w:sz w:val="32"/>
          <w:szCs w:val="32"/>
        </w:rPr>
        <w:t>1、收入说明</w:t>
      </w:r>
    </w:p>
    <w:p>
      <w:pPr>
        <w:ind w:firstLine="560" w:firstLineChars="200"/>
        <w:rPr>
          <w:rFonts w:ascii="方正书宋_GBK" w:hAnsi="方正书宋_GBK" w:eastAsia="方正书宋_GBK" w:cs="方正书宋_GBK"/>
          <w:sz w:val="32"/>
          <w:szCs w:val="32"/>
        </w:rPr>
      </w:pPr>
      <w:r>
        <w:rPr>
          <w:rFonts w:hint="eastAsia" w:ascii="方正书宋_GBK" w:hAnsi="方正书宋_GBK" w:eastAsia="方正书宋_GBK" w:cs="方正书宋_GBK"/>
          <w:sz w:val="28"/>
          <w:szCs w:val="28"/>
        </w:rPr>
        <w:t>反映本</w:t>
      </w:r>
      <w:r>
        <w:rPr>
          <w:rFonts w:hint="eastAsia" w:ascii="方正书宋_GBK" w:hAnsi="方正书宋_GBK" w:eastAsia="方正书宋_GBK" w:cs="方正书宋_GBK"/>
          <w:sz w:val="28"/>
          <w:szCs w:val="28"/>
          <w:lang w:eastAsia="zh-CN"/>
        </w:rPr>
        <w:t>单位</w:t>
      </w:r>
      <w:r>
        <w:rPr>
          <w:rFonts w:hint="eastAsia" w:ascii="方正书宋_GBK" w:hAnsi="方正书宋_GBK" w:eastAsia="方正书宋_GBK" w:cs="方正书宋_GBK"/>
          <w:sz w:val="28"/>
          <w:szCs w:val="28"/>
        </w:rPr>
        <w:t>当年全部收入。202</w:t>
      </w:r>
      <w:r>
        <w:rPr>
          <w:rFonts w:hint="eastAsia" w:ascii="方正书宋_GBK" w:hAnsi="方正书宋_GBK" w:eastAsia="方正书宋_GBK" w:cs="方正书宋_GBK"/>
          <w:sz w:val="28"/>
          <w:szCs w:val="28"/>
          <w:lang w:eastAsia="zh-CN"/>
        </w:rPr>
        <w:t>2</w:t>
      </w:r>
      <w:r>
        <w:rPr>
          <w:rFonts w:hint="eastAsia" w:ascii="方正书宋_GBK" w:hAnsi="方正书宋_GBK" w:eastAsia="方正书宋_GBK" w:cs="方正书宋_GBK"/>
          <w:sz w:val="28"/>
          <w:szCs w:val="28"/>
        </w:rPr>
        <w:t>年预算收</w:t>
      </w:r>
      <w:r>
        <w:rPr>
          <w:rFonts w:hint="eastAsia" w:ascii="方正书宋_GBK" w:hAnsi="方正书宋_GBK" w:eastAsia="方正书宋_GBK" w:cs="方正书宋_GBK"/>
          <w:sz w:val="28"/>
          <w:szCs w:val="28"/>
          <w:lang w:eastAsia="zh-CN"/>
        </w:rPr>
        <w:t>入755.86</w:t>
      </w:r>
      <w:r>
        <w:rPr>
          <w:rFonts w:hint="eastAsia" w:ascii="方正书宋_GBK" w:hAnsi="方正书宋_GBK" w:eastAsia="方正书宋_GBK" w:cs="方正书宋_GBK"/>
          <w:sz w:val="28"/>
          <w:szCs w:val="28"/>
        </w:rPr>
        <w:t>万元，其中：一般公共预算收入</w:t>
      </w:r>
      <w:r>
        <w:rPr>
          <w:rFonts w:hint="eastAsia" w:ascii="方正书宋_GBK" w:hAnsi="方正书宋_GBK" w:eastAsia="方正书宋_GBK" w:cs="方正书宋_GBK"/>
          <w:sz w:val="28"/>
          <w:szCs w:val="28"/>
          <w:lang w:eastAsia="zh-CN"/>
        </w:rPr>
        <w:t>755.86</w:t>
      </w:r>
      <w:r>
        <w:rPr>
          <w:rFonts w:hint="eastAsia" w:ascii="方正书宋_GBK" w:hAnsi="方正书宋_GBK" w:eastAsia="方正书宋_GBK" w:cs="方正书宋_GBK"/>
          <w:sz w:val="28"/>
          <w:szCs w:val="28"/>
        </w:rPr>
        <w:t>万元，政府性基金预算收入</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万元，国有资本经营预算收入</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万元，上级补助收入</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万元，事业收入</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万元，经营收入</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万元，附属单位上缴收入</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万元，其他收入</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w:t>
      </w:r>
    </w:p>
    <w:p>
      <w:pPr>
        <w:ind w:firstLine="640"/>
        <w:rPr>
          <w:rFonts w:ascii="楷体_GB2312" w:eastAsia="楷体_GB2312"/>
          <w:b/>
          <w:sz w:val="32"/>
          <w:szCs w:val="32"/>
        </w:rPr>
      </w:pPr>
      <w:r>
        <w:rPr>
          <w:rFonts w:hint="eastAsia" w:ascii="楷体_GB2312" w:eastAsia="楷体_GB2312"/>
          <w:b/>
          <w:sz w:val="32"/>
          <w:szCs w:val="32"/>
        </w:rPr>
        <w:t>2、支出说明</w:t>
      </w:r>
    </w:p>
    <w:p>
      <w:pPr>
        <w:ind w:firstLine="640"/>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收支预算总表支出栏、基本支出表、项目支出表按经济分类和支出功能分类科目编制，反映</w:t>
      </w:r>
      <w:r>
        <w:rPr>
          <w:rFonts w:hint="eastAsia" w:ascii="方正书宋_GBK" w:hAnsi="方正书宋_GBK" w:eastAsia="方正书宋_GBK" w:cs="方正书宋_GBK"/>
          <w:sz w:val="28"/>
          <w:szCs w:val="28"/>
          <w:lang w:eastAsia="zh-CN"/>
        </w:rPr>
        <w:t>中共</w:t>
      </w:r>
      <w:r>
        <w:rPr>
          <w:rFonts w:hint="eastAsia" w:ascii="方正书宋_GBK" w:hAnsi="方正书宋_GBK" w:eastAsia="方正书宋_GBK" w:cs="方正书宋_GBK"/>
          <w:sz w:val="28"/>
          <w:szCs w:val="28"/>
        </w:rPr>
        <w:t>霸州市</w:t>
      </w:r>
      <w:r>
        <w:rPr>
          <w:rFonts w:hint="eastAsia" w:ascii="方正书宋_GBK" w:hAnsi="方正书宋_GBK" w:eastAsia="方正书宋_GBK" w:cs="方正书宋_GBK"/>
          <w:sz w:val="28"/>
          <w:szCs w:val="28"/>
          <w:lang w:eastAsia="zh-CN"/>
        </w:rPr>
        <w:t>委老干部局</w:t>
      </w:r>
      <w:r>
        <w:rPr>
          <w:rFonts w:hint="eastAsia" w:ascii="方正书宋_GBK" w:hAnsi="方正书宋_GBK" w:eastAsia="方正书宋_GBK" w:cs="方正书宋_GBK"/>
          <w:sz w:val="28"/>
          <w:szCs w:val="28"/>
        </w:rPr>
        <w:t>202</w:t>
      </w:r>
      <w:r>
        <w:rPr>
          <w:rFonts w:hint="eastAsia" w:ascii="方正书宋_GBK" w:hAnsi="方正书宋_GBK" w:eastAsia="方正书宋_GBK" w:cs="方正书宋_GBK"/>
          <w:sz w:val="28"/>
          <w:szCs w:val="28"/>
          <w:lang w:eastAsia="zh-CN"/>
        </w:rPr>
        <w:t>2</w:t>
      </w:r>
      <w:r>
        <w:rPr>
          <w:rFonts w:hint="eastAsia" w:ascii="方正书宋_GBK" w:hAnsi="方正书宋_GBK" w:eastAsia="方正书宋_GBK" w:cs="方正书宋_GBK"/>
          <w:sz w:val="28"/>
          <w:szCs w:val="28"/>
        </w:rPr>
        <w:t>年度</w:t>
      </w:r>
      <w:r>
        <w:rPr>
          <w:rFonts w:hint="eastAsia" w:ascii="方正书宋_GBK" w:hAnsi="方正书宋_GBK" w:eastAsia="方正书宋_GBK" w:cs="方正书宋_GBK"/>
          <w:sz w:val="28"/>
          <w:szCs w:val="28"/>
          <w:lang w:eastAsia="zh-CN"/>
        </w:rPr>
        <w:t>单位</w:t>
      </w:r>
      <w:r>
        <w:rPr>
          <w:rFonts w:hint="eastAsia" w:ascii="方正书宋_GBK" w:hAnsi="方正书宋_GBK" w:eastAsia="方正书宋_GBK" w:cs="方正书宋_GBK"/>
          <w:sz w:val="28"/>
          <w:szCs w:val="28"/>
        </w:rPr>
        <w:t>预算中支出预算的总体情况。202</w:t>
      </w:r>
      <w:r>
        <w:rPr>
          <w:rFonts w:hint="eastAsia" w:ascii="方正书宋_GBK" w:hAnsi="方正书宋_GBK" w:eastAsia="方正书宋_GBK" w:cs="方正书宋_GBK"/>
          <w:sz w:val="28"/>
          <w:szCs w:val="28"/>
          <w:lang w:eastAsia="zh-CN"/>
        </w:rPr>
        <w:t>2</w:t>
      </w:r>
      <w:r>
        <w:rPr>
          <w:rFonts w:hint="eastAsia" w:ascii="方正书宋_GBK" w:hAnsi="方正书宋_GBK" w:eastAsia="方正书宋_GBK" w:cs="方正书宋_GBK"/>
          <w:sz w:val="28"/>
          <w:szCs w:val="28"/>
        </w:rPr>
        <w:t>年本</w:t>
      </w:r>
      <w:r>
        <w:rPr>
          <w:rFonts w:hint="eastAsia" w:ascii="方正书宋_GBK" w:hAnsi="方正书宋_GBK" w:eastAsia="方正书宋_GBK" w:cs="方正书宋_GBK"/>
          <w:sz w:val="28"/>
          <w:szCs w:val="28"/>
          <w:lang w:eastAsia="zh-CN"/>
        </w:rPr>
        <w:t>单位</w:t>
      </w:r>
      <w:r>
        <w:rPr>
          <w:rFonts w:hint="eastAsia" w:ascii="方正书宋_GBK" w:hAnsi="方正书宋_GBK" w:eastAsia="方正书宋_GBK" w:cs="方正书宋_GBK"/>
          <w:sz w:val="28"/>
          <w:szCs w:val="28"/>
        </w:rPr>
        <w:t>支出预算</w:t>
      </w:r>
      <w:r>
        <w:rPr>
          <w:rFonts w:hint="eastAsia" w:ascii="方正书宋_GBK" w:hAnsi="方正书宋_GBK" w:eastAsia="方正书宋_GBK" w:cs="方正书宋_GBK"/>
          <w:sz w:val="28"/>
          <w:szCs w:val="28"/>
          <w:lang w:eastAsia="zh-CN"/>
        </w:rPr>
        <w:t>755.86</w:t>
      </w:r>
      <w:r>
        <w:rPr>
          <w:rFonts w:hint="eastAsia" w:ascii="方正书宋_GBK" w:hAnsi="方正书宋_GBK" w:eastAsia="方正书宋_GBK" w:cs="方正书宋_GBK"/>
          <w:sz w:val="28"/>
          <w:szCs w:val="28"/>
        </w:rPr>
        <w:t>万元，其中：基本支出</w:t>
      </w:r>
      <w:r>
        <w:rPr>
          <w:rFonts w:hint="eastAsia" w:ascii="方正书宋_GBK" w:hAnsi="方正书宋_GBK" w:eastAsia="方正书宋_GBK" w:cs="方正书宋_GBK"/>
          <w:sz w:val="28"/>
          <w:szCs w:val="28"/>
          <w:lang w:eastAsia="zh-CN"/>
        </w:rPr>
        <w:t>454.86</w:t>
      </w:r>
      <w:r>
        <w:rPr>
          <w:rFonts w:hint="eastAsia" w:ascii="方正书宋_GBK" w:hAnsi="方正书宋_GBK" w:eastAsia="方正书宋_GBK" w:cs="方正书宋_GBK"/>
          <w:sz w:val="28"/>
          <w:szCs w:val="28"/>
        </w:rPr>
        <w:t>万元，包括：人员经费</w:t>
      </w:r>
      <w:r>
        <w:rPr>
          <w:rFonts w:hint="eastAsia" w:ascii="方正书宋_GBK" w:hAnsi="方正书宋_GBK" w:eastAsia="方正书宋_GBK" w:cs="方正书宋_GBK"/>
          <w:sz w:val="28"/>
          <w:szCs w:val="28"/>
          <w:lang w:eastAsia="zh-CN"/>
        </w:rPr>
        <w:t>405.87</w:t>
      </w:r>
      <w:r>
        <w:rPr>
          <w:rFonts w:hint="eastAsia" w:ascii="方正书宋_GBK" w:hAnsi="方正书宋_GBK" w:eastAsia="方正书宋_GBK" w:cs="方正书宋_GBK"/>
          <w:sz w:val="28"/>
          <w:szCs w:val="28"/>
        </w:rPr>
        <w:t>万元和日常公用经费</w:t>
      </w:r>
      <w:r>
        <w:rPr>
          <w:rFonts w:hint="eastAsia" w:ascii="方正书宋_GBK" w:hAnsi="方正书宋_GBK" w:eastAsia="方正书宋_GBK" w:cs="方正书宋_GBK"/>
          <w:sz w:val="28"/>
          <w:szCs w:val="28"/>
          <w:lang w:eastAsia="zh-CN"/>
        </w:rPr>
        <w:t>48.99</w:t>
      </w:r>
      <w:r>
        <w:rPr>
          <w:rFonts w:hint="eastAsia" w:ascii="方正书宋_GBK" w:hAnsi="方正书宋_GBK" w:eastAsia="方正书宋_GBK" w:cs="方正书宋_GBK"/>
          <w:sz w:val="28"/>
          <w:szCs w:val="28"/>
        </w:rPr>
        <w:t>万元；项目支出</w:t>
      </w:r>
      <w:r>
        <w:rPr>
          <w:rFonts w:hint="eastAsia" w:ascii="方正书宋_GBK" w:hAnsi="方正书宋_GBK" w:eastAsia="方正书宋_GBK" w:cs="方正书宋_GBK"/>
          <w:sz w:val="28"/>
          <w:szCs w:val="28"/>
          <w:lang w:eastAsia="zh-CN"/>
        </w:rPr>
        <w:t>301</w:t>
      </w:r>
      <w:r>
        <w:rPr>
          <w:rFonts w:hint="eastAsia" w:ascii="方正书宋_GBK" w:hAnsi="方正书宋_GBK" w:eastAsia="方正书宋_GBK" w:cs="方正书宋_GBK"/>
          <w:sz w:val="28"/>
          <w:szCs w:val="28"/>
        </w:rPr>
        <w:t>万元，全部为本级支出，主要为</w:t>
      </w:r>
      <w:r>
        <w:rPr>
          <w:rFonts w:hint="eastAsia" w:ascii="方正书宋_GBK" w:hAnsi="方正书宋_GBK" w:eastAsia="方正书宋_GBK" w:cs="方正书宋_GBK"/>
          <w:sz w:val="28"/>
          <w:szCs w:val="28"/>
          <w:lang w:eastAsia="zh-CN"/>
        </w:rPr>
        <w:t>离退休干部体检经费、离休干部慰问金、老干部局综合业务经费、离休干部医药费经费</w:t>
      </w:r>
      <w:r>
        <w:rPr>
          <w:rFonts w:hint="eastAsia" w:ascii="方正书宋_GBK" w:hAnsi="方正书宋_GBK" w:eastAsia="方正书宋_GBK" w:cs="方正书宋_GBK"/>
          <w:sz w:val="28"/>
          <w:szCs w:val="28"/>
        </w:rPr>
        <w:t>等；上缴上级支出</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万元，经营支出</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万元，对附属单位补助支出</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w:t>
      </w:r>
    </w:p>
    <w:p>
      <w:pPr>
        <w:ind w:firstLine="640"/>
        <w:rPr>
          <w:rFonts w:ascii="楷体_GB2312" w:eastAsia="楷体_GB2312"/>
          <w:b/>
          <w:sz w:val="32"/>
          <w:szCs w:val="32"/>
        </w:rPr>
      </w:pPr>
      <w:r>
        <w:rPr>
          <w:rFonts w:hint="eastAsia" w:ascii="楷体_GB2312" w:eastAsia="楷体_GB2312"/>
          <w:b/>
          <w:sz w:val="32"/>
          <w:szCs w:val="32"/>
        </w:rPr>
        <w:t>3、比上年增减情况</w:t>
      </w:r>
    </w:p>
    <w:p>
      <w:pPr>
        <w:ind w:firstLine="640"/>
      </w:pPr>
      <w:r>
        <w:rPr>
          <w:rFonts w:hint="eastAsia" w:ascii="方正书宋_GBK" w:hAnsi="方正书宋_GBK" w:eastAsia="方正书宋_GBK" w:cs="方正书宋_GBK"/>
          <w:color w:val="000000" w:themeColor="text1"/>
          <w:sz w:val="28"/>
          <w:szCs w:val="28"/>
        </w:rPr>
        <w:t>202</w:t>
      </w:r>
      <w:r>
        <w:rPr>
          <w:rFonts w:hint="eastAsia" w:ascii="方正书宋_GBK" w:hAnsi="方正书宋_GBK" w:eastAsia="方正书宋_GBK" w:cs="方正书宋_GBK"/>
          <w:color w:val="000000" w:themeColor="text1"/>
          <w:sz w:val="28"/>
          <w:szCs w:val="28"/>
          <w:lang w:eastAsia="zh-CN"/>
        </w:rPr>
        <w:t>2</w:t>
      </w:r>
      <w:r>
        <w:rPr>
          <w:rFonts w:hint="eastAsia" w:ascii="方正书宋_GBK" w:hAnsi="方正书宋_GBK" w:eastAsia="方正书宋_GBK" w:cs="方正书宋_GBK"/>
          <w:color w:val="000000" w:themeColor="text1"/>
          <w:sz w:val="28"/>
          <w:szCs w:val="28"/>
        </w:rPr>
        <w:t>年预算收支安排</w:t>
      </w:r>
      <w:r>
        <w:rPr>
          <w:rFonts w:hint="eastAsia" w:ascii="方正书宋_GBK" w:hAnsi="方正书宋_GBK" w:eastAsia="方正书宋_GBK" w:cs="方正书宋_GBK"/>
          <w:color w:val="000000" w:themeColor="text1"/>
          <w:sz w:val="28"/>
          <w:szCs w:val="28"/>
          <w:lang w:eastAsia="zh-CN"/>
        </w:rPr>
        <w:t>755.86</w:t>
      </w:r>
      <w:r>
        <w:rPr>
          <w:rFonts w:hint="eastAsia" w:ascii="方正书宋_GBK" w:hAnsi="方正书宋_GBK" w:eastAsia="方正书宋_GBK" w:cs="方正书宋_GBK"/>
          <w:color w:val="000000" w:themeColor="text1"/>
          <w:sz w:val="28"/>
          <w:szCs w:val="28"/>
        </w:rPr>
        <w:t>万元，较20</w:t>
      </w:r>
      <w:r>
        <w:rPr>
          <w:rFonts w:hint="eastAsia" w:ascii="方正书宋_GBK" w:hAnsi="方正书宋_GBK" w:eastAsia="方正书宋_GBK" w:cs="方正书宋_GBK"/>
          <w:color w:val="000000" w:themeColor="text1"/>
          <w:sz w:val="28"/>
          <w:szCs w:val="28"/>
          <w:lang w:eastAsia="zh-CN"/>
        </w:rPr>
        <w:t>21</w:t>
      </w:r>
      <w:r>
        <w:rPr>
          <w:rFonts w:hint="eastAsia" w:ascii="方正书宋_GBK" w:hAnsi="方正书宋_GBK" w:eastAsia="方正书宋_GBK" w:cs="方正书宋_GBK"/>
          <w:color w:val="000000" w:themeColor="text1"/>
          <w:sz w:val="28"/>
          <w:szCs w:val="28"/>
        </w:rPr>
        <w:t>年预算</w:t>
      </w:r>
      <w:r>
        <w:rPr>
          <w:rFonts w:hint="eastAsia" w:ascii="方正书宋_GBK" w:hAnsi="方正书宋_GBK" w:eastAsia="方正书宋_GBK" w:cs="方正书宋_GBK"/>
          <w:color w:val="000000" w:themeColor="text1"/>
          <w:sz w:val="28"/>
          <w:szCs w:val="28"/>
          <w:lang w:eastAsia="zh-CN"/>
        </w:rPr>
        <w:t>减少24.68</w:t>
      </w:r>
      <w:r>
        <w:rPr>
          <w:rFonts w:hint="eastAsia" w:ascii="方正书宋_GBK" w:hAnsi="方正书宋_GBK" w:eastAsia="方正书宋_GBK" w:cs="方正书宋_GBK"/>
          <w:color w:val="000000" w:themeColor="text1"/>
          <w:sz w:val="28"/>
          <w:szCs w:val="28"/>
        </w:rPr>
        <w:t>万元，其中：基本支出</w:t>
      </w:r>
      <w:r>
        <w:rPr>
          <w:rFonts w:hint="eastAsia" w:ascii="方正书宋_GBK" w:hAnsi="方正书宋_GBK" w:eastAsia="方正书宋_GBK" w:cs="方正书宋_GBK"/>
          <w:color w:val="000000" w:themeColor="text1"/>
          <w:sz w:val="28"/>
          <w:szCs w:val="28"/>
          <w:lang w:eastAsia="zh-CN"/>
        </w:rPr>
        <w:t>减少24.68</w:t>
      </w:r>
      <w:r>
        <w:rPr>
          <w:rFonts w:hint="eastAsia" w:ascii="方正书宋_GBK" w:hAnsi="方正书宋_GBK" w:eastAsia="方正书宋_GBK" w:cs="方正书宋_GBK"/>
          <w:color w:val="000000" w:themeColor="text1"/>
          <w:sz w:val="28"/>
          <w:szCs w:val="28"/>
        </w:rPr>
        <w:t>万元，主要为</w:t>
      </w:r>
      <w:r>
        <w:rPr>
          <w:rFonts w:hint="eastAsia" w:ascii="方正书宋_GBK" w:hAnsi="方正书宋_GBK" w:eastAsia="方正书宋_GBK" w:cs="方正书宋_GBK"/>
          <w:color w:val="000000" w:themeColor="text1"/>
          <w:sz w:val="28"/>
          <w:szCs w:val="28"/>
          <w:lang w:eastAsia="zh-CN"/>
        </w:rPr>
        <w:t>减少人员经费支出</w:t>
      </w:r>
      <w:r>
        <w:rPr>
          <w:rFonts w:hint="eastAsia" w:ascii="方正书宋_GBK" w:hAnsi="方正书宋_GBK" w:eastAsia="方正书宋_GBK" w:cs="方正书宋_GBK"/>
          <w:color w:val="000000" w:themeColor="text1"/>
          <w:sz w:val="28"/>
          <w:szCs w:val="28"/>
        </w:rPr>
        <w:t>。</w:t>
      </w:r>
    </w:p>
    <w:p>
      <w:pPr>
        <w:numPr>
          <w:ilvl w:val="0"/>
          <w:numId w:val="1"/>
        </w:numPr>
        <w:ind w:firstLine="640" w:firstLineChars="200"/>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ind w:firstLine="600" w:firstLineChars="200"/>
        <w:rPr>
          <w:rFonts w:ascii="方正书宋_GBK" w:hAnsi="方正书宋_GBK" w:eastAsia="方正书宋_GBK" w:cs="方正书宋_GBK"/>
          <w:sz w:val="30"/>
          <w:szCs w:val="30"/>
        </w:rPr>
      </w:pPr>
      <w:r>
        <w:rPr>
          <w:rFonts w:hint="eastAsia" w:ascii="方正书宋_GBK" w:hAnsi="方正书宋_GBK" w:eastAsia="方正书宋_GBK" w:cs="方正书宋_GBK"/>
          <w:sz w:val="30"/>
          <w:szCs w:val="30"/>
        </w:rPr>
        <w:t>机关运行经费共计安排</w:t>
      </w:r>
      <w:r>
        <w:rPr>
          <w:rFonts w:hint="eastAsia" w:ascii="方正书宋_GBK" w:hAnsi="方正书宋_GBK" w:eastAsia="方正书宋_GBK" w:cs="方正书宋_GBK"/>
          <w:sz w:val="30"/>
          <w:szCs w:val="30"/>
          <w:lang w:eastAsia="zh-CN"/>
        </w:rPr>
        <w:t>48.99</w:t>
      </w:r>
      <w:r>
        <w:rPr>
          <w:rFonts w:hint="eastAsia" w:ascii="方正书宋_GBK" w:hAnsi="方正书宋_GBK" w:eastAsia="方正书宋_GBK" w:cs="方正书宋_GBK"/>
          <w:sz w:val="30"/>
          <w:szCs w:val="30"/>
        </w:rPr>
        <w:t>万元，主要用于办公区的日常维修、办公用房水电费、办公用房取暖费、办公及印刷费，邮电费、差旅费、会议费、福利费、专用材料及一般设备购置费、办公用房物业管理费、公务用车运行维护费等日常运行支出。</w:t>
      </w:r>
    </w:p>
    <w:p>
      <w:pPr>
        <w:numPr>
          <w:ilvl w:val="0"/>
          <w:numId w:val="1"/>
        </w:numPr>
        <w:ind w:firstLine="640" w:firstLineChars="200"/>
        <w:rPr>
          <w:rFonts w:ascii="仿宋_GB2312" w:eastAsia="仿宋_GB2312"/>
          <w:sz w:val="32"/>
          <w:szCs w:val="32"/>
        </w:rPr>
      </w:pPr>
      <w:bookmarkStart w:id="12" w:name="_Toc_3_3_0000000013"/>
      <w:r>
        <w:rPr>
          <w:rFonts w:ascii="黑体" w:hAnsi="黑体" w:eastAsia="黑体" w:cs="黑体"/>
          <w:color w:val="000000"/>
          <w:sz w:val="32"/>
        </w:rPr>
        <w:t>财政拨款“三公”经费预算情况及增减变化原因</w:t>
      </w:r>
      <w:bookmarkEnd w:id="12"/>
    </w:p>
    <w:p>
      <w:pPr>
        <w:ind w:left="480" w:leftChars="200" w:firstLine="560" w:firstLineChars="200"/>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w:t>
      </w:r>
      <w:r>
        <w:rPr>
          <w:rFonts w:hint="eastAsia" w:ascii="方正书宋_GBK" w:hAnsi="方正书宋_GBK" w:eastAsia="方正书宋_GBK" w:cs="方正书宋_GBK"/>
          <w:sz w:val="28"/>
          <w:szCs w:val="28"/>
          <w:lang w:eastAsia="zh-CN"/>
        </w:rPr>
        <w:t>2</w:t>
      </w:r>
      <w:r>
        <w:rPr>
          <w:rFonts w:hint="eastAsia" w:ascii="方正书宋_GBK" w:hAnsi="方正书宋_GBK" w:eastAsia="方正书宋_GBK" w:cs="方正书宋_GBK"/>
          <w:sz w:val="28"/>
          <w:szCs w:val="28"/>
        </w:rPr>
        <w:t>年，我</w:t>
      </w:r>
      <w:r>
        <w:rPr>
          <w:rFonts w:hint="eastAsia" w:ascii="方正书宋_GBK" w:hAnsi="方正书宋_GBK" w:eastAsia="方正书宋_GBK" w:cs="方正书宋_GBK"/>
          <w:sz w:val="28"/>
          <w:szCs w:val="28"/>
          <w:lang w:eastAsia="zh-CN"/>
        </w:rPr>
        <w:t>单位</w:t>
      </w:r>
      <w:r>
        <w:rPr>
          <w:rFonts w:hint="eastAsia" w:ascii="方正书宋_GBK" w:hAnsi="方正书宋_GBK" w:eastAsia="方正书宋_GBK" w:cs="方正书宋_GBK"/>
          <w:sz w:val="28"/>
          <w:szCs w:val="28"/>
        </w:rPr>
        <w:t>“三公”经费预算安排</w:t>
      </w:r>
      <w:r>
        <w:rPr>
          <w:rFonts w:hint="eastAsia" w:ascii="方正书宋_GBK" w:hAnsi="方正书宋_GBK" w:eastAsia="方正书宋_GBK" w:cs="方正书宋_GBK"/>
          <w:sz w:val="28"/>
          <w:szCs w:val="28"/>
          <w:lang w:eastAsia="zh-CN"/>
        </w:rPr>
        <w:t>2.62</w:t>
      </w:r>
      <w:r>
        <w:rPr>
          <w:rFonts w:hint="eastAsia" w:ascii="方正书宋_GBK" w:hAnsi="方正书宋_GBK" w:eastAsia="方正书宋_GBK" w:cs="方正书宋_GBK"/>
          <w:sz w:val="28"/>
          <w:szCs w:val="28"/>
        </w:rPr>
        <w:t>万元，其中：因公出国（境）</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万元；公务用车购置及运维费</w:t>
      </w:r>
      <w:r>
        <w:rPr>
          <w:rFonts w:hint="eastAsia" w:ascii="方正书宋_GBK" w:hAnsi="方正书宋_GBK" w:eastAsia="方正书宋_GBK" w:cs="方正书宋_GBK"/>
          <w:sz w:val="28"/>
          <w:szCs w:val="28"/>
          <w:lang w:eastAsia="zh-CN"/>
        </w:rPr>
        <w:t>2.38</w:t>
      </w:r>
      <w:r>
        <w:rPr>
          <w:rFonts w:hint="eastAsia" w:ascii="方正书宋_GBK" w:hAnsi="方正书宋_GBK" w:eastAsia="方正书宋_GBK" w:cs="方正书宋_GBK"/>
          <w:sz w:val="28"/>
          <w:szCs w:val="28"/>
        </w:rPr>
        <w:t>万元（其中：公务用车购置费</w:t>
      </w:r>
      <w:r>
        <w:rPr>
          <w:rFonts w:hint="eastAsia" w:ascii="方正书宋_GBK" w:hAnsi="方正书宋_GBK" w:eastAsia="方正书宋_GBK" w:cs="方正书宋_GBK"/>
          <w:sz w:val="28"/>
          <w:szCs w:val="28"/>
          <w:lang w:eastAsia="zh-CN"/>
        </w:rPr>
        <w:t>0</w:t>
      </w:r>
      <w:r>
        <w:rPr>
          <w:rFonts w:hint="eastAsia" w:ascii="方正书宋_GBK" w:hAnsi="方正书宋_GBK" w:eastAsia="方正书宋_GBK" w:cs="方正书宋_GBK"/>
          <w:sz w:val="28"/>
          <w:szCs w:val="28"/>
        </w:rPr>
        <w:t>万元，公务用车运行维护费</w:t>
      </w:r>
      <w:r>
        <w:rPr>
          <w:rFonts w:hint="eastAsia" w:ascii="方正书宋_GBK" w:hAnsi="方正书宋_GBK" w:eastAsia="方正书宋_GBK" w:cs="方正书宋_GBK"/>
          <w:sz w:val="28"/>
          <w:szCs w:val="28"/>
          <w:lang w:eastAsia="zh-CN"/>
        </w:rPr>
        <w:t>2.38</w:t>
      </w:r>
      <w:r>
        <w:rPr>
          <w:rFonts w:hint="eastAsia" w:ascii="方正书宋_GBK" w:hAnsi="方正书宋_GBK" w:eastAsia="方正书宋_GBK" w:cs="方正书宋_GBK"/>
          <w:sz w:val="28"/>
          <w:szCs w:val="28"/>
        </w:rPr>
        <w:t>万元)；公务接待费</w:t>
      </w:r>
      <w:r>
        <w:rPr>
          <w:rFonts w:hint="eastAsia" w:ascii="方正书宋_GBK" w:hAnsi="方正书宋_GBK" w:eastAsia="方正书宋_GBK" w:cs="方正书宋_GBK"/>
          <w:sz w:val="28"/>
          <w:szCs w:val="28"/>
          <w:lang w:eastAsia="zh-CN"/>
        </w:rPr>
        <w:t>0.24</w:t>
      </w:r>
      <w:r>
        <w:rPr>
          <w:rFonts w:hint="eastAsia" w:ascii="方正书宋_GBK" w:hAnsi="方正书宋_GBK" w:eastAsia="方正书宋_GBK" w:cs="方正书宋_GBK"/>
          <w:sz w:val="28"/>
          <w:szCs w:val="28"/>
        </w:rPr>
        <w:t>万元，较20</w:t>
      </w:r>
      <w:r>
        <w:rPr>
          <w:rFonts w:hint="eastAsia" w:ascii="方正书宋_GBK" w:hAnsi="方正书宋_GBK" w:eastAsia="方正书宋_GBK" w:cs="方正书宋_GBK"/>
          <w:sz w:val="28"/>
          <w:szCs w:val="28"/>
          <w:lang w:eastAsia="zh-CN"/>
        </w:rPr>
        <w:t>21</w:t>
      </w:r>
      <w:r>
        <w:rPr>
          <w:rFonts w:hint="eastAsia" w:ascii="方正书宋_GBK" w:hAnsi="方正书宋_GBK" w:eastAsia="方正书宋_GBK" w:cs="方正书宋_GBK"/>
          <w:sz w:val="28"/>
          <w:szCs w:val="28"/>
        </w:rPr>
        <w:t>年“三公”经费</w:t>
      </w:r>
      <w:r>
        <w:rPr>
          <w:rFonts w:hint="eastAsia" w:ascii="方正书宋_GBK" w:hAnsi="方正书宋_GBK" w:eastAsia="方正书宋_GBK" w:cs="方正书宋_GBK"/>
          <w:sz w:val="28"/>
          <w:szCs w:val="28"/>
          <w:lang w:eastAsia="zh-CN"/>
        </w:rPr>
        <w:t>减少</w:t>
      </w:r>
      <w:r>
        <w:rPr>
          <w:rFonts w:hint="eastAsia" w:ascii="方正书宋_GBK" w:hAnsi="方正书宋_GBK" w:eastAsia="方正书宋_GBK" w:cs="方正书宋_GBK"/>
          <w:sz w:val="28"/>
          <w:szCs w:val="28"/>
        </w:rPr>
        <w:t>，主要是因为</w:t>
      </w:r>
      <w:r>
        <w:rPr>
          <w:rFonts w:hint="eastAsia" w:ascii="方正书宋_GBK" w:hAnsi="方正书宋_GBK" w:eastAsia="方正书宋_GBK" w:cs="方正书宋_GBK"/>
          <w:sz w:val="28"/>
          <w:szCs w:val="28"/>
          <w:lang w:eastAsia="zh-CN"/>
        </w:rPr>
        <w:t>节约开支。</w:t>
      </w:r>
    </w:p>
    <w:p>
      <w:pPr>
        <w:spacing w:before="10" w:after="10" w:line="360" w:lineRule="auto"/>
        <w:ind w:firstLine="640" w:firstLineChars="20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全面贯彻党的离退休干部工作的方针政策，进一步落实好老干部的政治生活待遇，做好离退休干部走访慰问工作，抓好离休干部“两费”（离休费、医药费）和其他待遇的落实，进一步加强离退休党支部建设，指导加强离退休干部党组织书记的教育和培训工作;进一步发挥好老干部的作用，关工委指导、组织离退休干部利用自身优势，在政治、经济、文化和青少年教育等各领域发挥作用，增添正能量;进一步丰富老干部的精神文化生活，老干部活动中心、老年大学、老年书画研究会、老年体协积极组织各项文艺演出、书画教学、交流、展览、老年体育健身展示等活动，为争创经济强市、打造生态新城、建设美丽霸州继续做贡献。</w:t>
      </w:r>
    </w:p>
    <w:p>
      <w:pPr>
        <w:spacing w:line="500" w:lineRule="exact"/>
        <w:ind w:firstLine="560"/>
      </w:pPr>
      <w:r>
        <w:rPr>
          <w:rFonts w:eastAsia="方正仿宋_GBK"/>
          <w:color w:val="000000"/>
          <w:sz w:val="28"/>
        </w:rPr>
        <w:t>（二）分项绩效目标</w:t>
      </w:r>
    </w:p>
    <w:p>
      <w:pPr>
        <w:pStyle w:val="22"/>
        <w:ind w:firstLine="932" w:firstLineChars="333"/>
      </w:pPr>
      <w:r>
        <w:rPr>
          <w:rFonts w:hint="eastAsia"/>
          <w:lang w:eastAsia="zh-CN"/>
        </w:rPr>
        <w:t>1、</w:t>
      </w:r>
      <w:r>
        <w:t>全面落实离退休干部待遇</w:t>
      </w:r>
    </w:p>
    <w:p>
      <w:pPr>
        <w:pStyle w:val="22"/>
      </w:pPr>
      <w:r>
        <w:t>绩效目标：全面贯彻党的离退休干部方针政策，落实好离退休老干部的政治、生活待遇。</w:t>
      </w:r>
    </w:p>
    <w:p>
      <w:pPr>
        <w:pStyle w:val="22"/>
      </w:pPr>
      <w:r>
        <w:t>绩效指标：落实好应享受的离退休老干部政治生活待遇的比率以及及时足额发放率、完成时间，都达到  100%</w:t>
      </w:r>
    </w:p>
    <w:p>
      <w:pPr>
        <w:pStyle w:val="22"/>
        <w:ind w:firstLine="932" w:firstLineChars="333"/>
      </w:pPr>
      <w:r>
        <w:rPr>
          <w:rFonts w:hint="eastAsia"/>
          <w:lang w:eastAsia="zh-CN"/>
        </w:rPr>
        <w:t>2、</w:t>
      </w:r>
      <w:r>
        <w:t>重点抓好离休干部待遇</w:t>
      </w:r>
    </w:p>
    <w:p>
      <w:pPr>
        <w:pStyle w:val="22"/>
      </w:pPr>
      <w:r>
        <w:t>绩效目标：做好离退休干部走访慰问工作，抓好离休干部“两费”（离休费、医药费）的落实。</w:t>
      </w:r>
    </w:p>
    <w:p>
      <w:pPr>
        <w:pStyle w:val="22"/>
      </w:pPr>
      <w:r>
        <w:t>绩效指标：离休干部（</w:t>
      </w:r>
      <w:r>
        <w:rPr>
          <w:rFonts w:hint="eastAsia"/>
          <w:lang w:eastAsia="zh-CN"/>
        </w:rPr>
        <w:t>29</w:t>
      </w:r>
      <w:r>
        <w:t>人）“两费”落实的覆盖率及老干部满意率，应达到100%</w:t>
      </w:r>
    </w:p>
    <w:p>
      <w:pPr>
        <w:pStyle w:val="22"/>
        <w:ind w:firstLine="932" w:firstLineChars="333"/>
      </w:pPr>
      <w:r>
        <w:rPr>
          <w:rFonts w:hint="eastAsia"/>
          <w:lang w:eastAsia="zh-CN"/>
        </w:rPr>
        <w:t>3、</w:t>
      </w:r>
      <w:r>
        <w:t>组织离退休干部开展好丰富多彩的精神、文化、体育活动</w:t>
      </w:r>
    </w:p>
    <w:p>
      <w:pPr>
        <w:pStyle w:val="22"/>
      </w:pPr>
      <w:r>
        <w:t>绩效目标：通过开展各项有益活动，丰富老干部的精神文化生活和品质。</w:t>
      </w:r>
    </w:p>
    <w:p>
      <w:pPr>
        <w:pStyle w:val="22"/>
      </w:pPr>
      <w:r>
        <w:t>绩效指标：老干部参加活动次数（25次）及老干部满意率达到95%</w:t>
      </w:r>
    </w:p>
    <w:p>
      <w:pPr>
        <w:pStyle w:val="22"/>
        <w:ind w:firstLine="932" w:firstLineChars="333"/>
      </w:pPr>
      <w:r>
        <w:rPr>
          <w:rFonts w:hint="eastAsia"/>
          <w:lang w:eastAsia="zh-CN"/>
        </w:rPr>
        <w:t>4、</w:t>
      </w:r>
      <w:r>
        <w:t>关心下一代，发挥离退休干部余热</w:t>
      </w:r>
    </w:p>
    <w:p>
      <w:pPr>
        <w:pStyle w:val="22"/>
      </w:pPr>
      <w:r>
        <w:t>绩效目标：通过关工委组织离退休干部利用自身优势，关心下一代健康成长。</w:t>
      </w:r>
    </w:p>
    <w:p>
      <w:pPr>
        <w:pStyle w:val="22"/>
      </w:pPr>
      <w:r>
        <w:t>绩效指标：青少年参加活动次数（60次）及青少年满意率95%</w:t>
      </w:r>
    </w:p>
    <w:p>
      <w:pPr>
        <w:spacing w:line="500" w:lineRule="exact"/>
        <w:ind w:firstLine="560"/>
      </w:pPr>
      <w:r>
        <w:rPr>
          <w:rFonts w:eastAsia="方正仿宋_GBK"/>
          <w:color w:val="000000"/>
          <w:sz w:val="28"/>
        </w:rPr>
        <w:t>（三）工作保障措施</w:t>
      </w:r>
    </w:p>
    <w:p>
      <w:pPr>
        <w:pStyle w:val="23"/>
      </w:pPr>
      <w:r>
        <w:rPr>
          <w:rFonts w:hint="eastAsia"/>
          <w:lang w:eastAsia="zh-CN"/>
        </w:rPr>
        <w:t>1、</w:t>
      </w:r>
      <w:r>
        <w:t>深化老干部工作“三项教育”,进一步加强制度和作风建设。继续深入开展群众路线教育实践活动,深化老干部工作忠孝观念教育、精神状态教育、和谐机关教育,从强化管理入手,重点加强机关制度建设,坚持用制度管理权,按制度办事,靠制度管人,不断改进工作作风,树立和展示新时期老干部工作部门的良好形象,努力造就一支“党性强、政德好、人品正”的老干部工作队伍。</w:t>
      </w:r>
    </w:p>
    <w:p>
      <w:pPr>
        <w:pStyle w:val="23"/>
      </w:pPr>
      <w:r>
        <w:rPr>
          <w:rFonts w:hint="eastAsia"/>
          <w:lang w:eastAsia="zh-CN"/>
        </w:rPr>
        <w:t>2、</w:t>
      </w:r>
      <w:r>
        <w:t>深入基层，调研全面落实老干部的政治生活待遇。全面贯彻落实离退休干部政策，深入基层、深入各单位，落实好离退休干部的政治生活待遇，并发挥好他们关心下一代的作用，进一步丰富他们的精神文化生活，多组织开展内容丰富、形式多样、喜闻乐见的群众活动，讲好中国故事，传播好党的声音，弘扬正能量。</w:t>
      </w:r>
    </w:p>
    <w:p>
      <w:pPr>
        <w:pStyle w:val="23"/>
      </w:pPr>
      <w:r>
        <w:rPr>
          <w:rFonts w:hint="eastAsia"/>
          <w:lang w:eastAsia="zh-CN"/>
        </w:rPr>
        <w:t>3、</w:t>
      </w:r>
      <w:r>
        <w:t>完善各项制度，保证各项重要开支在阳光下运行。 建立完善预算绩效管理办法，详细制定财务室职责，严格执行财务相关规定，凡开支伍千元以上一律经班子会研究决定后方可列支。</w:t>
      </w:r>
    </w:p>
    <w:p>
      <w:pPr>
        <w:pStyle w:val="23"/>
      </w:pPr>
      <w:r>
        <w:rPr>
          <w:rFonts w:hint="eastAsia"/>
          <w:lang w:eastAsia="zh-CN"/>
        </w:rPr>
        <w:t>4、</w:t>
      </w:r>
      <w:r>
        <w:t>加强支出管理。通过优化支出结构、编细编实预算、加快履行政府采购手续、尽快启动项目、及时支付资金、6月底前细化代编预算、按规定及时下达资金等多种措施，确保支出进度达标。</w:t>
      </w:r>
    </w:p>
    <w:p>
      <w:pPr>
        <w:pStyle w:val="23"/>
      </w:pPr>
      <w:r>
        <w:rPr>
          <w:rFonts w:hint="eastAsia"/>
          <w:lang w:eastAsia="zh-CN"/>
        </w:rPr>
        <w:t>5、</w:t>
      </w:r>
      <w:r>
        <w:t>加强绩效运行监控。按要求开展绩效运行监控，发现问题及时采取措施，确保绩效目标如期保质实现。</w:t>
      </w:r>
    </w:p>
    <w:p>
      <w:pPr>
        <w:pStyle w:val="23"/>
      </w:pPr>
      <w:r>
        <w:rPr>
          <w:rFonts w:hint="eastAsia"/>
          <w:lang w:eastAsia="zh-CN"/>
        </w:rPr>
        <w:t>6、</w:t>
      </w:r>
      <w:r>
        <w:t>做好绩效自评。按要求开展上年度部门预算绩效自评和重点评价工作，对评价中发现的问题及时整改，调整优化支出结构，提高财政资金使用效益。</w:t>
      </w:r>
    </w:p>
    <w:p>
      <w:pPr>
        <w:pStyle w:val="23"/>
      </w:pPr>
      <w:r>
        <w:rPr>
          <w:rFonts w:hint="eastAsia"/>
          <w:lang w:eastAsia="zh-CN"/>
        </w:rPr>
        <w:t>7、</w:t>
      </w:r>
      <w:r>
        <w:t>规范财务资产管理。完善财务管理制度，严格审批程序，加强固定资产登记、使用和报废处置管理，做到支出合理，物尽其用。</w:t>
      </w:r>
    </w:p>
    <w:p>
      <w:pPr>
        <w:pStyle w:val="23"/>
      </w:pPr>
      <w:r>
        <w:rPr>
          <w:rFonts w:hint="eastAsia"/>
          <w:lang w:eastAsia="zh-CN"/>
        </w:rPr>
        <w:t>8、</w:t>
      </w: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pPr>
      <w:r>
        <w:rPr>
          <w:rFonts w:hint="eastAsia"/>
          <w:lang w:eastAsia="zh-CN"/>
        </w:rPr>
        <w:t>9、</w:t>
      </w:r>
      <w:r>
        <w:t>加强宣传培训调研等。加强人员培训，提高本部门职工业务素质；加强调研，提出优化财政资金配置、提高资金使用效益的意见意见；加大宣传力度，强化预算绩效管理意识，促进预算绩效管理水平进一步提升。</w:t>
      </w:r>
    </w:p>
    <w:p>
      <w:pPr>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1、老干部局综合业务经费绩效目标表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 关工委每年组织60次3万人次青少年教育活动，老年大学600多学员参加11个教学班的550课时，老年书画为100多会员每年组织一次书画展，老体协23个活动站800人参加11项体育赛事。</w:t>
            </w:r>
          </w:p>
          <w:p>
            <w:pPr>
              <w:pStyle w:val="12"/>
            </w:pPr>
            <w:r>
              <w:t>2.达到引导青少年健康成长、引导老年人开展健康有益的活动，使老年人“老有所教，老有所为，老有所乐”，体现市委、市政府对他们的关心和爱护，使他们过一个愉快幸福的晚年。</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出版物</w:t>
            </w:r>
          </w:p>
        </w:tc>
        <w:tc>
          <w:tcPr>
            <w:tcW w:w="2835" w:type="dxa"/>
            <w:vAlign w:val="center"/>
          </w:tcPr>
          <w:p>
            <w:pPr>
              <w:pStyle w:val="12"/>
            </w:pPr>
            <w:r>
              <w:t xml:space="preserve"> 《老年书画摄影作品集》《霸州名人录》</w:t>
            </w:r>
          </w:p>
        </w:tc>
        <w:tc>
          <w:tcPr>
            <w:tcW w:w="2551" w:type="dxa"/>
            <w:vAlign w:val="center"/>
          </w:tcPr>
          <w:p>
            <w:pPr>
              <w:pStyle w:val="12"/>
            </w:pPr>
            <w:r>
              <w:t>2 部</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 xml:space="preserve"> 举办活动次数</w:t>
            </w:r>
          </w:p>
        </w:tc>
        <w:tc>
          <w:tcPr>
            <w:tcW w:w="2835" w:type="dxa"/>
            <w:vAlign w:val="center"/>
          </w:tcPr>
          <w:p>
            <w:pPr>
              <w:pStyle w:val="12"/>
            </w:pPr>
            <w:r>
              <w:t xml:space="preserve"> 青少年和老干部举办活动次数</w:t>
            </w:r>
          </w:p>
        </w:tc>
        <w:tc>
          <w:tcPr>
            <w:tcW w:w="2551" w:type="dxa"/>
            <w:vAlign w:val="center"/>
          </w:tcPr>
          <w:p>
            <w:pPr>
              <w:pStyle w:val="12"/>
            </w:pPr>
            <w:r>
              <w:t>≥85 次</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 xml:space="preserve"> 参加人数</w:t>
            </w:r>
          </w:p>
        </w:tc>
        <w:tc>
          <w:tcPr>
            <w:tcW w:w="2835" w:type="dxa"/>
            <w:vAlign w:val="center"/>
          </w:tcPr>
          <w:p>
            <w:pPr>
              <w:pStyle w:val="12"/>
            </w:pPr>
            <w:r>
              <w:t xml:space="preserve"> 青少年和老干部参加人数</w:t>
            </w:r>
          </w:p>
        </w:tc>
        <w:tc>
          <w:tcPr>
            <w:tcW w:w="2551" w:type="dxa"/>
            <w:vAlign w:val="center"/>
          </w:tcPr>
          <w:p>
            <w:pPr>
              <w:pStyle w:val="12"/>
            </w:pPr>
            <w:r>
              <w:t>≥3.15 万人</w:t>
            </w:r>
          </w:p>
        </w:tc>
        <w:tc>
          <w:tcPr>
            <w:tcW w:w="2268" w:type="dxa"/>
            <w:vAlign w:val="center"/>
          </w:tcPr>
          <w:p>
            <w:pPr>
              <w:pStyle w:val="12"/>
            </w:pPr>
            <w:r>
              <w:t xml:space="preserve"> 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 xml:space="preserve"> 救助特困儿童</w:t>
            </w:r>
          </w:p>
        </w:tc>
        <w:tc>
          <w:tcPr>
            <w:tcW w:w="2835" w:type="dxa"/>
            <w:vAlign w:val="center"/>
          </w:tcPr>
          <w:p>
            <w:pPr>
              <w:pStyle w:val="12"/>
            </w:pPr>
            <w:r>
              <w:t xml:space="preserve"> 救助贫困儿童</w:t>
            </w:r>
          </w:p>
        </w:tc>
        <w:tc>
          <w:tcPr>
            <w:tcW w:w="2551" w:type="dxa"/>
            <w:vAlign w:val="center"/>
          </w:tcPr>
          <w:p>
            <w:pPr>
              <w:pStyle w:val="12"/>
            </w:pPr>
            <w:r>
              <w:t>5 人</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各项活动合格率</w:t>
            </w:r>
          </w:p>
        </w:tc>
        <w:tc>
          <w:tcPr>
            <w:tcW w:w="2835" w:type="dxa"/>
            <w:vAlign w:val="center"/>
          </w:tcPr>
          <w:p>
            <w:pPr>
              <w:pStyle w:val="12"/>
            </w:pPr>
            <w:r>
              <w:t xml:space="preserve"> 各项活动合格率</w:t>
            </w:r>
          </w:p>
        </w:tc>
        <w:tc>
          <w:tcPr>
            <w:tcW w:w="2551" w:type="dxa"/>
            <w:vAlign w:val="center"/>
          </w:tcPr>
          <w:p>
            <w:pPr>
              <w:pStyle w:val="12"/>
            </w:pPr>
            <w:r>
              <w:t>100 %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各项活动按时完成</w:t>
            </w:r>
          </w:p>
        </w:tc>
        <w:tc>
          <w:tcPr>
            <w:tcW w:w="2835" w:type="dxa"/>
            <w:vAlign w:val="center"/>
          </w:tcPr>
          <w:p>
            <w:pPr>
              <w:pStyle w:val="12"/>
            </w:pPr>
            <w:r>
              <w:t xml:space="preserve"> 各项活动按时完成率</w:t>
            </w:r>
          </w:p>
        </w:tc>
        <w:tc>
          <w:tcPr>
            <w:tcW w:w="2551" w:type="dxa"/>
            <w:vAlign w:val="center"/>
          </w:tcPr>
          <w:p>
            <w:pPr>
              <w:pStyle w:val="12"/>
            </w:pPr>
            <w:r>
              <w:t>≥95 %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项目总成本</w:t>
            </w:r>
          </w:p>
        </w:tc>
        <w:tc>
          <w:tcPr>
            <w:tcW w:w="2835" w:type="dxa"/>
            <w:vAlign w:val="center"/>
          </w:tcPr>
          <w:p>
            <w:pPr>
              <w:pStyle w:val="12"/>
            </w:pPr>
            <w:r>
              <w:t xml:space="preserve"> 项目总成本控制数</w:t>
            </w:r>
          </w:p>
        </w:tc>
        <w:tc>
          <w:tcPr>
            <w:tcW w:w="2551" w:type="dxa"/>
            <w:vAlign w:val="center"/>
          </w:tcPr>
          <w:p>
            <w:pPr>
              <w:pStyle w:val="12"/>
            </w:pPr>
            <w:r>
              <w:t>≤29.55 万元</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 xml:space="preserve"> 对青少年思想品德的提升</w:t>
            </w:r>
          </w:p>
        </w:tc>
        <w:tc>
          <w:tcPr>
            <w:tcW w:w="2835" w:type="dxa"/>
            <w:vAlign w:val="center"/>
          </w:tcPr>
          <w:p>
            <w:pPr>
              <w:pStyle w:val="12"/>
            </w:pPr>
            <w:r>
              <w:t xml:space="preserve"> 对青少年思想品德的提升作用</w:t>
            </w:r>
          </w:p>
        </w:tc>
        <w:tc>
          <w:tcPr>
            <w:tcW w:w="2551" w:type="dxa"/>
            <w:vAlign w:val="center"/>
          </w:tcPr>
          <w:p>
            <w:pPr>
              <w:pStyle w:val="12"/>
            </w:pPr>
            <w:r>
              <w:t xml:space="preserve"> 较大</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对老干部晚年生活质量的提高</w:t>
            </w:r>
          </w:p>
        </w:tc>
        <w:tc>
          <w:tcPr>
            <w:tcW w:w="2835" w:type="dxa"/>
            <w:vAlign w:val="center"/>
          </w:tcPr>
          <w:p>
            <w:pPr>
              <w:pStyle w:val="12"/>
            </w:pPr>
            <w:r>
              <w:t xml:space="preserve"> 对老干部晚年生活质量的提高</w:t>
            </w:r>
          </w:p>
        </w:tc>
        <w:tc>
          <w:tcPr>
            <w:tcW w:w="2551" w:type="dxa"/>
            <w:vAlign w:val="center"/>
          </w:tcPr>
          <w:p>
            <w:pPr>
              <w:pStyle w:val="12"/>
            </w:pPr>
            <w:r>
              <w:t xml:space="preserve"> 较大</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 xml:space="preserve"> 对特困儿童的救助作用</w:t>
            </w:r>
          </w:p>
        </w:tc>
        <w:tc>
          <w:tcPr>
            <w:tcW w:w="2835" w:type="dxa"/>
            <w:vAlign w:val="center"/>
          </w:tcPr>
          <w:p>
            <w:pPr>
              <w:pStyle w:val="12"/>
            </w:pPr>
            <w:r>
              <w:t xml:space="preserve"> 对特困儿童的救助作用</w:t>
            </w:r>
          </w:p>
        </w:tc>
        <w:tc>
          <w:tcPr>
            <w:tcW w:w="2551" w:type="dxa"/>
            <w:vAlign w:val="center"/>
          </w:tcPr>
          <w:p>
            <w:pPr>
              <w:pStyle w:val="12"/>
            </w:pPr>
            <w:r>
              <w:t xml:space="preserve"> 较大</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老干部满意率</w:t>
            </w:r>
          </w:p>
        </w:tc>
        <w:tc>
          <w:tcPr>
            <w:tcW w:w="2835" w:type="dxa"/>
            <w:vAlign w:val="center"/>
          </w:tcPr>
          <w:p>
            <w:pPr>
              <w:pStyle w:val="12"/>
            </w:pPr>
            <w:r>
              <w:t xml:space="preserve"> 通过调查、抽查了解满意及较满意老干部占总人数的比率</w:t>
            </w:r>
          </w:p>
        </w:tc>
        <w:tc>
          <w:tcPr>
            <w:tcW w:w="2551" w:type="dxa"/>
            <w:vAlign w:val="center"/>
          </w:tcPr>
          <w:p>
            <w:pPr>
              <w:pStyle w:val="12"/>
            </w:pPr>
            <w:r>
              <w:t>≥95 %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 xml:space="preserve"> 青少年满意率</w:t>
            </w:r>
          </w:p>
        </w:tc>
        <w:tc>
          <w:tcPr>
            <w:tcW w:w="2835" w:type="dxa"/>
            <w:vAlign w:val="center"/>
          </w:tcPr>
          <w:p>
            <w:pPr>
              <w:pStyle w:val="12"/>
            </w:pPr>
            <w:r>
              <w:t xml:space="preserve"> 青少年满意数量占调查人数的比例</w:t>
            </w:r>
          </w:p>
        </w:tc>
        <w:tc>
          <w:tcPr>
            <w:tcW w:w="2551" w:type="dxa"/>
            <w:vAlign w:val="center"/>
          </w:tcPr>
          <w:p>
            <w:pPr>
              <w:pStyle w:val="12"/>
            </w:pPr>
            <w:r>
              <w:t>≥95 %</w:t>
            </w:r>
          </w:p>
        </w:tc>
        <w:tc>
          <w:tcPr>
            <w:tcW w:w="2268" w:type="dxa"/>
            <w:vAlign w:val="center"/>
          </w:tcPr>
          <w:p>
            <w:pPr>
              <w:pStyle w:val="12"/>
            </w:pPr>
            <w:r>
              <w:t xml:space="preserve"> 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2、离退休干部体检经费绩效目标表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1.老干部局每年为全市3500位离退休干部进行一次身体检查，并逐人建立健康档案，保障了老干部的身体健康。</w:t>
            </w:r>
          </w:p>
          <w:p>
            <w:pPr>
              <w:pStyle w:val="12"/>
            </w:pPr>
            <w:r>
              <w:t>2.体现了市委市政府对他们的关心和爱护，使他们有一个健康幸福的晚年生活。</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体检人数</w:t>
            </w:r>
          </w:p>
        </w:tc>
        <w:tc>
          <w:tcPr>
            <w:tcW w:w="2835" w:type="dxa"/>
            <w:vAlign w:val="center"/>
          </w:tcPr>
          <w:p>
            <w:pPr>
              <w:pStyle w:val="12"/>
            </w:pPr>
            <w:r>
              <w:t xml:space="preserve"> 参加体检的离退休干部人数</w:t>
            </w:r>
          </w:p>
        </w:tc>
        <w:tc>
          <w:tcPr>
            <w:tcW w:w="2551" w:type="dxa"/>
            <w:vAlign w:val="center"/>
          </w:tcPr>
          <w:p>
            <w:pPr>
              <w:pStyle w:val="12"/>
            </w:pPr>
            <w:r>
              <w:t>≥3500 人</w:t>
            </w:r>
          </w:p>
        </w:tc>
        <w:tc>
          <w:tcPr>
            <w:tcW w:w="2268" w:type="dxa"/>
            <w:vAlign w:val="center"/>
          </w:tcPr>
          <w:p>
            <w:pPr>
              <w:pStyle w:val="12"/>
            </w:pPr>
            <w:r>
              <w:t xml:space="preserve"> 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体检报告合格率</w:t>
            </w:r>
          </w:p>
        </w:tc>
        <w:tc>
          <w:tcPr>
            <w:tcW w:w="2835" w:type="dxa"/>
            <w:vAlign w:val="center"/>
          </w:tcPr>
          <w:p>
            <w:pPr>
              <w:pStyle w:val="12"/>
            </w:pPr>
            <w:r>
              <w:t xml:space="preserve"> 体检报告合格率</w:t>
            </w:r>
          </w:p>
        </w:tc>
        <w:tc>
          <w:tcPr>
            <w:tcW w:w="2551" w:type="dxa"/>
            <w:vAlign w:val="center"/>
          </w:tcPr>
          <w:p>
            <w:pPr>
              <w:pStyle w:val="12"/>
            </w:pPr>
            <w:r>
              <w:t>100 %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完成时间</w:t>
            </w:r>
          </w:p>
        </w:tc>
        <w:tc>
          <w:tcPr>
            <w:tcW w:w="2835" w:type="dxa"/>
            <w:vAlign w:val="center"/>
          </w:tcPr>
          <w:p>
            <w:pPr>
              <w:pStyle w:val="12"/>
            </w:pPr>
            <w:r>
              <w:t xml:space="preserve"> 体检完成时间</w:t>
            </w:r>
          </w:p>
        </w:tc>
        <w:tc>
          <w:tcPr>
            <w:tcW w:w="2551" w:type="dxa"/>
            <w:vAlign w:val="center"/>
          </w:tcPr>
          <w:p>
            <w:pPr>
              <w:pStyle w:val="12"/>
            </w:pPr>
            <w:r>
              <w:t>≤8 月</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项目总成本</w:t>
            </w:r>
          </w:p>
        </w:tc>
        <w:tc>
          <w:tcPr>
            <w:tcW w:w="2835" w:type="dxa"/>
            <w:vAlign w:val="center"/>
          </w:tcPr>
          <w:p>
            <w:pPr>
              <w:pStyle w:val="12"/>
            </w:pPr>
            <w:r>
              <w:t xml:space="preserve"> 项目总成本控制数</w:t>
            </w:r>
          </w:p>
        </w:tc>
        <w:tc>
          <w:tcPr>
            <w:tcW w:w="2551" w:type="dxa"/>
            <w:vAlign w:val="center"/>
          </w:tcPr>
          <w:p>
            <w:pPr>
              <w:pStyle w:val="12"/>
            </w:pPr>
            <w:r>
              <w:t>≤70 万元</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老干部体检覆盖率</w:t>
            </w:r>
          </w:p>
        </w:tc>
        <w:tc>
          <w:tcPr>
            <w:tcW w:w="2835" w:type="dxa"/>
            <w:vAlign w:val="center"/>
          </w:tcPr>
          <w:p>
            <w:pPr>
              <w:pStyle w:val="12"/>
            </w:pPr>
            <w:r>
              <w:t xml:space="preserve"> 老干部体检覆盖率</w:t>
            </w:r>
          </w:p>
        </w:tc>
        <w:tc>
          <w:tcPr>
            <w:tcW w:w="2551" w:type="dxa"/>
            <w:vAlign w:val="center"/>
          </w:tcPr>
          <w:p>
            <w:pPr>
              <w:pStyle w:val="12"/>
            </w:pPr>
            <w:r>
              <w:t>≥90 %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老干部满意率</w:t>
            </w:r>
          </w:p>
        </w:tc>
        <w:tc>
          <w:tcPr>
            <w:tcW w:w="2835" w:type="dxa"/>
            <w:vAlign w:val="center"/>
          </w:tcPr>
          <w:p>
            <w:pPr>
              <w:pStyle w:val="12"/>
            </w:pPr>
            <w:r>
              <w:t xml:space="preserve"> 通过调查、抽查了解满意及较满意人数占老干部总数的比率</w:t>
            </w:r>
          </w:p>
        </w:tc>
        <w:tc>
          <w:tcPr>
            <w:tcW w:w="2551" w:type="dxa"/>
            <w:vAlign w:val="center"/>
          </w:tcPr>
          <w:p>
            <w:pPr>
              <w:pStyle w:val="12"/>
            </w:pPr>
            <w:r>
              <w:t>≥955</w:t>
            </w:r>
          </w:p>
        </w:tc>
        <w:tc>
          <w:tcPr>
            <w:tcW w:w="2268" w:type="dxa"/>
            <w:vAlign w:val="center"/>
          </w:tcPr>
          <w:p>
            <w:pPr>
              <w:pStyle w:val="12"/>
            </w:pPr>
            <w:r>
              <w:t xml:space="preserve"> 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3、离休干部慰问金绩效目标表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1.每年春节期间市委老干部局代表市委市政府对全市位离休干部进行走访慰问，每人每年500。</w:t>
            </w:r>
          </w:p>
          <w:p>
            <w:pPr>
              <w:pStyle w:val="12"/>
            </w:pPr>
            <w:r>
              <w:t>2.通过走访慰问每位离休老干部，使他们感到市委市政府对他们的关心和爱护，将组织的关怀送到了每位老干部的心理，使每位老干部过一个愉快幸福的晚年。</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慰问人数</w:t>
            </w:r>
          </w:p>
        </w:tc>
        <w:tc>
          <w:tcPr>
            <w:tcW w:w="2835" w:type="dxa"/>
            <w:vAlign w:val="center"/>
          </w:tcPr>
          <w:p>
            <w:pPr>
              <w:pStyle w:val="12"/>
            </w:pPr>
            <w:r>
              <w:t xml:space="preserve"> 参加慰问离休干部人数</w:t>
            </w:r>
          </w:p>
        </w:tc>
        <w:tc>
          <w:tcPr>
            <w:tcW w:w="2551" w:type="dxa"/>
            <w:vAlign w:val="center"/>
          </w:tcPr>
          <w:p>
            <w:pPr>
              <w:pStyle w:val="12"/>
            </w:pPr>
            <w:r>
              <w:t>≤29 人</w:t>
            </w:r>
          </w:p>
        </w:tc>
        <w:tc>
          <w:tcPr>
            <w:tcW w:w="2268" w:type="dxa"/>
            <w:vAlign w:val="center"/>
          </w:tcPr>
          <w:p>
            <w:pPr>
              <w:pStyle w:val="12"/>
            </w:pPr>
            <w:r>
              <w:t xml:space="preserve"> 历史统计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及时足额率</w:t>
            </w:r>
          </w:p>
        </w:tc>
        <w:tc>
          <w:tcPr>
            <w:tcW w:w="2835" w:type="dxa"/>
            <w:vAlign w:val="center"/>
          </w:tcPr>
          <w:p>
            <w:pPr>
              <w:pStyle w:val="12"/>
            </w:pPr>
            <w:r>
              <w:t xml:space="preserve"> 及时足额发放慰问金</w:t>
            </w:r>
          </w:p>
        </w:tc>
        <w:tc>
          <w:tcPr>
            <w:tcW w:w="2551" w:type="dxa"/>
            <w:vAlign w:val="center"/>
          </w:tcPr>
          <w:p>
            <w:pPr>
              <w:pStyle w:val="12"/>
            </w:pPr>
            <w:r>
              <w:t>100 %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完成时间</w:t>
            </w:r>
          </w:p>
        </w:tc>
        <w:tc>
          <w:tcPr>
            <w:tcW w:w="2835" w:type="dxa"/>
            <w:vAlign w:val="center"/>
          </w:tcPr>
          <w:p>
            <w:pPr>
              <w:pStyle w:val="12"/>
            </w:pPr>
            <w:r>
              <w:t xml:space="preserve"> 春节期间完成</w:t>
            </w:r>
          </w:p>
        </w:tc>
        <w:tc>
          <w:tcPr>
            <w:tcW w:w="2551" w:type="dxa"/>
            <w:vAlign w:val="center"/>
          </w:tcPr>
          <w:p>
            <w:pPr>
              <w:pStyle w:val="12"/>
            </w:pPr>
            <w:r>
              <w:t>2 月</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人均慰问成本</w:t>
            </w:r>
          </w:p>
        </w:tc>
        <w:tc>
          <w:tcPr>
            <w:tcW w:w="2835" w:type="dxa"/>
            <w:vAlign w:val="center"/>
          </w:tcPr>
          <w:p>
            <w:pPr>
              <w:pStyle w:val="12"/>
            </w:pPr>
            <w:r>
              <w:t xml:space="preserve"> 人均慰问标准</w:t>
            </w:r>
          </w:p>
        </w:tc>
        <w:tc>
          <w:tcPr>
            <w:tcW w:w="2551" w:type="dxa"/>
            <w:vAlign w:val="center"/>
          </w:tcPr>
          <w:p>
            <w:pPr>
              <w:pStyle w:val="12"/>
            </w:pPr>
            <w:r>
              <w:t>500 元</w:t>
            </w:r>
          </w:p>
        </w:tc>
        <w:tc>
          <w:tcPr>
            <w:tcW w:w="2268" w:type="dxa"/>
            <w:vAlign w:val="center"/>
          </w:tcPr>
          <w:p>
            <w:pPr>
              <w:pStyle w:val="12"/>
            </w:pPr>
            <w:r>
              <w:t>霸发【2010】8号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覆盖率</w:t>
            </w:r>
          </w:p>
        </w:tc>
        <w:tc>
          <w:tcPr>
            <w:tcW w:w="2835" w:type="dxa"/>
            <w:vAlign w:val="center"/>
          </w:tcPr>
          <w:p>
            <w:pPr>
              <w:pStyle w:val="12"/>
            </w:pPr>
            <w:r>
              <w:t xml:space="preserve"> 离休干部覆盖率</w:t>
            </w:r>
          </w:p>
        </w:tc>
        <w:tc>
          <w:tcPr>
            <w:tcW w:w="2551" w:type="dxa"/>
            <w:vAlign w:val="center"/>
          </w:tcPr>
          <w:p>
            <w:pPr>
              <w:pStyle w:val="12"/>
            </w:pPr>
            <w:r>
              <w:t>100 %</w:t>
            </w:r>
          </w:p>
        </w:tc>
        <w:tc>
          <w:tcPr>
            <w:tcW w:w="2268" w:type="dxa"/>
            <w:vAlign w:val="center"/>
          </w:tcPr>
          <w:p>
            <w:pPr>
              <w:pStyle w:val="12"/>
            </w:pPr>
            <w:r>
              <w:t xml:space="preserve"> 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 xml:space="preserve"> 政治待遇落实率</w:t>
            </w:r>
          </w:p>
        </w:tc>
        <w:tc>
          <w:tcPr>
            <w:tcW w:w="2835" w:type="dxa"/>
            <w:vAlign w:val="center"/>
          </w:tcPr>
          <w:p>
            <w:pPr>
              <w:pStyle w:val="12"/>
            </w:pPr>
            <w:r>
              <w:t xml:space="preserve"> 政治待遇落实率</w:t>
            </w:r>
          </w:p>
        </w:tc>
        <w:tc>
          <w:tcPr>
            <w:tcW w:w="2551" w:type="dxa"/>
            <w:vAlign w:val="center"/>
          </w:tcPr>
          <w:p>
            <w:pPr>
              <w:pStyle w:val="12"/>
            </w:pPr>
            <w:r>
              <w:t>100 %</w:t>
            </w:r>
          </w:p>
        </w:tc>
        <w:tc>
          <w:tcPr>
            <w:tcW w:w="2268" w:type="dxa"/>
            <w:vAlign w:val="center"/>
          </w:tcPr>
          <w:p>
            <w:pPr>
              <w:pStyle w:val="12"/>
            </w:pPr>
            <w:r>
              <w:t xml:space="preserve"> 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离休干部满意率</w:t>
            </w:r>
          </w:p>
        </w:tc>
        <w:tc>
          <w:tcPr>
            <w:tcW w:w="2835" w:type="dxa"/>
            <w:vAlign w:val="center"/>
          </w:tcPr>
          <w:p>
            <w:pPr>
              <w:pStyle w:val="12"/>
            </w:pPr>
            <w:r>
              <w:t xml:space="preserve"> 通过调查、抽查了解满意及较满意的离休干部占总数的比率</w:t>
            </w:r>
          </w:p>
        </w:tc>
        <w:tc>
          <w:tcPr>
            <w:tcW w:w="2551" w:type="dxa"/>
            <w:vAlign w:val="center"/>
          </w:tcPr>
          <w:p>
            <w:pPr>
              <w:pStyle w:val="12"/>
            </w:pPr>
            <w:r>
              <w:t>≥95 %</w:t>
            </w:r>
          </w:p>
        </w:tc>
        <w:tc>
          <w:tcPr>
            <w:tcW w:w="2268" w:type="dxa"/>
            <w:vAlign w:val="center"/>
          </w:tcPr>
          <w:p>
            <w:pPr>
              <w:pStyle w:val="12"/>
            </w:pPr>
            <w:r>
              <w:t xml:space="preserve"> 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4、离休干部医药费绩效目标表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1.老干部局2022年为29名离休干部实报实销医药费，确保离休干部生活待遇的落实。</w:t>
            </w:r>
          </w:p>
          <w:p>
            <w:pPr>
              <w:pStyle w:val="12"/>
            </w:pPr>
            <w:r>
              <w:t>2.使他们的晚年无后顾之忧，让每位老干部感受到党对他们政治上的关心，生活的爱护。</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报销药费人数</w:t>
            </w:r>
          </w:p>
        </w:tc>
        <w:tc>
          <w:tcPr>
            <w:tcW w:w="2835" w:type="dxa"/>
            <w:vAlign w:val="center"/>
          </w:tcPr>
          <w:p>
            <w:pPr>
              <w:pStyle w:val="12"/>
            </w:pPr>
            <w:r>
              <w:t xml:space="preserve"> 报销药费人数</w:t>
            </w:r>
          </w:p>
        </w:tc>
        <w:tc>
          <w:tcPr>
            <w:tcW w:w="2551" w:type="dxa"/>
            <w:vAlign w:val="center"/>
          </w:tcPr>
          <w:p>
            <w:pPr>
              <w:pStyle w:val="12"/>
            </w:pPr>
            <w:r>
              <w:t>≤29 人</w:t>
            </w:r>
          </w:p>
        </w:tc>
        <w:tc>
          <w:tcPr>
            <w:tcW w:w="2268" w:type="dxa"/>
            <w:vAlign w:val="center"/>
          </w:tcPr>
          <w:p>
            <w:pPr>
              <w:pStyle w:val="12"/>
            </w:pPr>
            <w:r>
              <w:t xml:space="preserve"> 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及时足额率</w:t>
            </w:r>
          </w:p>
        </w:tc>
        <w:tc>
          <w:tcPr>
            <w:tcW w:w="2835" w:type="dxa"/>
            <w:vAlign w:val="center"/>
          </w:tcPr>
          <w:p>
            <w:pPr>
              <w:pStyle w:val="12"/>
            </w:pPr>
            <w:r>
              <w:t xml:space="preserve"> 及时足额报销药费</w:t>
            </w:r>
          </w:p>
        </w:tc>
        <w:tc>
          <w:tcPr>
            <w:tcW w:w="2551" w:type="dxa"/>
            <w:vAlign w:val="center"/>
          </w:tcPr>
          <w:p>
            <w:pPr>
              <w:pStyle w:val="12"/>
            </w:pPr>
            <w:r>
              <w:t>100 %</w:t>
            </w:r>
          </w:p>
        </w:tc>
        <w:tc>
          <w:tcPr>
            <w:tcW w:w="2268" w:type="dxa"/>
            <w:vAlign w:val="center"/>
          </w:tcPr>
          <w:p>
            <w:pPr>
              <w:pStyle w:val="12"/>
            </w:pPr>
            <w:r>
              <w:t xml:space="preserve"> 霸发【2010】8号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报销时效</w:t>
            </w:r>
          </w:p>
        </w:tc>
        <w:tc>
          <w:tcPr>
            <w:tcW w:w="2835" w:type="dxa"/>
            <w:vAlign w:val="center"/>
          </w:tcPr>
          <w:p>
            <w:pPr>
              <w:pStyle w:val="12"/>
            </w:pPr>
            <w:r>
              <w:t xml:space="preserve"> 自收到医院结算单到完成该笔报销的时限</w:t>
            </w:r>
          </w:p>
        </w:tc>
        <w:tc>
          <w:tcPr>
            <w:tcW w:w="2551" w:type="dxa"/>
            <w:vAlign w:val="center"/>
          </w:tcPr>
          <w:p>
            <w:pPr>
              <w:pStyle w:val="12"/>
            </w:pPr>
            <w:r>
              <w:t>≤1 月</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报销药费的支出控制</w:t>
            </w:r>
          </w:p>
        </w:tc>
        <w:tc>
          <w:tcPr>
            <w:tcW w:w="2835" w:type="dxa"/>
            <w:vAlign w:val="center"/>
          </w:tcPr>
          <w:p>
            <w:pPr>
              <w:pStyle w:val="12"/>
            </w:pPr>
            <w:r>
              <w:t xml:space="preserve"> 报销药费的支出控制</w:t>
            </w:r>
          </w:p>
        </w:tc>
        <w:tc>
          <w:tcPr>
            <w:tcW w:w="2551" w:type="dxa"/>
            <w:vAlign w:val="center"/>
          </w:tcPr>
          <w:p>
            <w:pPr>
              <w:pStyle w:val="12"/>
            </w:pPr>
            <w:r>
              <w:t xml:space="preserve"> 以医院结算单为准</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保障机制率</w:t>
            </w:r>
          </w:p>
        </w:tc>
        <w:tc>
          <w:tcPr>
            <w:tcW w:w="2835" w:type="dxa"/>
            <w:vAlign w:val="center"/>
          </w:tcPr>
          <w:p>
            <w:pPr>
              <w:pStyle w:val="12"/>
            </w:pPr>
            <w:r>
              <w:t xml:space="preserve"> 保障机制全面落实</w:t>
            </w:r>
          </w:p>
        </w:tc>
        <w:tc>
          <w:tcPr>
            <w:tcW w:w="2551" w:type="dxa"/>
            <w:vAlign w:val="center"/>
          </w:tcPr>
          <w:p>
            <w:pPr>
              <w:pStyle w:val="12"/>
            </w:pPr>
            <w:r>
              <w:t>≥90 %</w:t>
            </w:r>
          </w:p>
        </w:tc>
        <w:tc>
          <w:tcPr>
            <w:tcW w:w="2268" w:type="dxa"/>
            <w:vAlign w:val="center"/>
          </w:tcPr>
          <w:p>
            <w:pPr>
              <w:pStyle w:val="1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 xml:space="preserve"> 离休干部覆盖率</w:t>
            </w:r>
          </w:p>
        </w:tc>
        <w:tc>
          <w:tcPr>
            <w:tcW w:w="2835" w:type="dxa"/>
            <w:vAlign w:val="center"/>
          </w:tcPr>
          <w:p>
            <w:pPr>
              <w:pStyle w:val="12"/>
            </w:pPr>
            <w:r>
              <w:t xml:space="preserve"> 享受全部报销医药费的离休干部覆盖率</w:t>
            </w:r>
          </w:p>
        </w:tc>
        <w:tc>
          <w:tcPr>
            <w:tcW w:w="2551" w:type="dxa"/>
            <w:vAlign w:val="center"/>
          </w:tcPr>
          <w:p>
            <w:pPr>
              <w:pStyle w:val="12"/>
            </w:pPr>
            <w:r>
              <w:t>100 %</w:t>
            </w:r>
          </w:p>
        </w:tc>
        <w:tc>
          <w:tcPr>
            <w:tcW w:w="2268" w:type="dxa"/>
            <w:vAlign w:val="center"/>
          </w:tcPr>
          <w:p>
            <w:pPr>
              <w:pStyle w:val="12"/>
            </w:pPr>
            <w:r>
              <w:t xml:space="preserve"> 霸发【2010】8号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离休干部满意率</w:t>
            </w:r>
          </w:p>
        </w:tc>
        <w:tc>
          <w:tcPr>
            <w:tcW w:w="2835" w:type="dxa"/>
            <w:vAlign w:val="center"/>
          </w:tcPr>
          <w:p>
            <w:pPr>
              <w:pStyle w:val="12"/>
            </w:pPr>
            <w:r>
              <w:t xml:space="preserve"> 通过调查、抽查了解满意及较满意离休干部占总数的比率</w:t>
            </w:r>
          </w:p>
        </w:tc>
        <w:tc>
          <w:tcPr>
            <w:tcW w:w="2551" w:type="dxa"/>
            <w:vAlign w:val="center"/>
          </w:tcPr>
          <w:p>
            <w:pPr>
              <w:pStyle w:val="12"/>
            </w:pPr>
            <w:r>
              <w:t>≥95 %</w:t>
            </w:r>
          </w:p>
        </w:tc>
        <w:tc>
          <w:tcPr>
            <w:tcW w:w="2268" w:type="dxa"/>
            <w:vAlign w:val="center"/>
          </w:tcPr>
          <w:p>
            <w:pPr>
              <w:pStyle w:val="12"/>
            </w:pPr>
            <w:r>
              <w:t xml:space="preserve"> 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2022年，中国共产党霸州市委老干部局安排政府采购预算0.00万元。具体内容见下表。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中国共产党霸州市委老干部局（含所属单位）上年末固定资产金额为</w:t>
      </w:r>
      <w:r>
        <w:rPr>
          <w:rFonts w:hint="eastAsia" w:eastAsia="方正仿宋_GBK"/>
          <w:color w:val="000000"/>
          <w:sz w:val="28"/>
          <w:lang w:eastAsia="zh-CN"/>
        </w:rPr>
        <w:t>370.24</w:t>
      </w:r>
      <w:r>
        <w:rPr>
          <w:rFonts w:eastAsia="方正仿宋_GBK"/>
          <w:color w:val="000000"/>
          <w:sz w:val="28"/>
        </w:rPr>
        <w:t>万元（详见下表）。本年度拟购置固定资产总额为0.00万元，已按要求列入政府采购预算，详见政府采购预算表。</w:t>
      </w:r>
    </w:p>
    <w:p>
      <w:pPr>
        <w:jc w:val="center"/>
      </w:pPr>
      <w:r>
        <w:rPr>
          <w:rFonts w:hint="eastAsia" w:ascii="方正小标宋_GBK" w:hAnsi="方正小标宋_GBK" w:eastAsia="方正小标宋_GBK" w:cs="方正小标宋_GBK"/>
          <w:color w:val="000000"/>
          <w:sz w:val="36"/>
          <w:lang w:eastAsia="zh-CN"/>
        </w:rPr>
        <w:t>中共霸州市委老干部局</w:t>
      </w:r>
      <w:r>
        <w:rPr>
          <w:rFonts w:ascii="方正小标宋_GBK" w:hAnsi="方正小标宋_GBK" w:eastAsia="方正小标宋_GBK" w:cs="方正小标宋_GBK"/>
          <w:color w:val="000000"/>
          <w:sz w:val="36"/>
        </w:rPr>
        <w:t>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803中国共产党霸州市委老干部局</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center"/>
              <w:rPr>
                <w:lang w:eastAsia="zh-CN"/>
              </w:rPr>
            </w:pPr>
            <w:r>
              <w:rPr>
                <w:rFonts w:hint="eastAsia"/>
                <w:lang w:eastAsia="zh-CN"/>
              </w:rPr>
              <w:t>房屋</w:t>
            </w:r>
          </w:p>
        </w:tc>
        <w:tc>
          <w:tcPr>
            <w:tcW w:w="2835" w:type="dxa"/>
            <w:vAlign w:val="center"/>
          </w:tcPr>
          <w:p>
            <w:pPr>
              <w:pStyle w:val="13"/>
              <w:rPr>
                <w:lang w:eastAsia="zh-CN"/>
              </w:rPr>
            </w:pPr>
            <w:r>
              <w:rPr>
                <w:rFonts w:hint="eastAsia"/>
                <w:lang w:eastAsia="zh-CN"/>
              </w:rPr>
              <w:t>4000</w:t>
            </w:r>
          </w:p>
        </w:tc>
        <w:tc>
          <w:tcPr>
            <w:tcW w:w="2835" w:type="dxa"/>
            <w:vAlign w:val="center"/>
          </w:tcPr>
          <w:p>
            <w:pPr>
              <w:pStyle w:val="11"/>
              <w:jc w:val="center"/>
              <w:rPr>
                <w:lang w:eastAsia="zh-CN"/>
              </w:rPr>
            </w:pPr>
            <w:r>
              <w:rPr>
                <w:rFonts w:hint="eastAsia"/>
                <w:lang w:eastAsia="zh-CN"/>
              </w:rPr>
              <w:t>267.6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center"/>
              <w:rPr>
                <w:lang w:eastAsia="zh-CN"/>
              </w:rPr>
            </w:pPr>
            <w:r>
              <w:rPr>
                <w:rFonts w:hint="eastAsia"/>
                <w:lang w:eastAsia="zh-CN"/>
              </w:rPr>
              <w:t>车辆</w:t>
            </w:r>
          </w:p>
        </w:tc>
        <w:tc>
          <w:tcPr>
            <w:tcW w:w="2835" w:type="dxa"/>
            <w:vAlign w:val="center"/>
          </w:tcPr>
          <w:p>
            <w:pPr>
              <w:pStyle w:val="13"/>
              <w:rPr>
                <w:lang w:eastAsia="zh-CN"/>
              </w:rPr>
            </w:pPr>
            <w:r>
              <w:rPr>
                <w:rFonts w:hint="eastAsia"/>
                <w:lang w:eastAsia="zh-CN"/>
              </w:rPr>
              <w:t>1</w:t>
            </w:r>
          </w:p>
        </w:tc>
        <w:tc>
          <w:tcPr>
            <w:tcW w:w="2835" w:type="dxa"/>
            <w:vAlign w:val="center"/>
          </w:tcPr>
          <w:p>
            <w:pPr>
              <w:pStyle w:val="11"/>
              <w:jc w:val="center"/>
              <w:rPr>
                <w:lang w:eastAsia="zh-CN"/>
              </w:rPr>
            </w:pPr>
            <w:r>
              <w:rPr>
                <w:rFonts w:hint="eastAsia"/>
                <w:lang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center"/>
              <w:rPr>
                <w:lang w:eastAsia="zh-CN"/>
              </w:rPr>
            </w:pPr>
            <w:r>
              <w:rPr>
                <w:rFonts w:hint="eastAsia"/>
                <w:lang w:eastAsia="zh-CN"/>
              </w:rPr>
              <w:t>其他固定资产</w:t>
            </w:r>
          </w:p>
        </w:tc>
        <w:tc>
          <w:tcPr>
            <w:tcW w:w="2835" w:type="dxa"/>
            <w:vAlign w:val="center"/>
          </w:tcPr>
          <w:p>
            <w:pPr>
              <w:pStyle w:val="13"/>
              <w:rPr>
                <w:lang w:eastAsia="zh-CN"/>
              </w:rPr>
            </w:pPr>
          </w:p>
        </w:tc>
        <w:tc>
          <w:tcPr>
            <w:tcW w:w="2835" w:type="dxa"/>
            <w:vAlign w:val="center"/>
          </w:tcPr>
          <w:p>
            <w:pPr>
              <w:pStyle w:val="11"/>
              <w:jc w:val="center"/>
              <w:rPr>
                <w:lang w:eastAsia="zh-CN"/>
              </w:rPr>
            </w:pPr>
            <w:r>
              <w:rPr>
                <w:rFonts w:hint="eastAsia"/>
                <w:lang w:eastAsia="zh-CN"/>
              </w:rPr>
              <w:t>92.64</w:t>
            </w:r>
          </w:p>
        </w:tc>
      </w:tr>
    </w:tbl>
    <w:p>
      <w:pPr>
        <w:ind w:firstLine="640"/>
      </w:pPr>
      <w:bookmarkStart w:id="18" w:name="_GoBack"/>
      <w:bookmarkEnd w:id="18"/>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panose1 w:val="03000509000000000000"/>
    <w:charset w:val="86"/>
    <w:family w:val="roman"/>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9806D"/>
    <w:multiLevelType w:val="singleLevel"/>
    <w:tmpl w:val="6209806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GM4ZGQ3N2Y2NDdiMGQ5ZGNkYTMwMzdhMDlmZWM4ZjkifQ=="/>
  </w:docVars>
  <w:rsids>
    <w:rsidRoot w:val="00655CFE"/>
    <w:rsid w:val="00043EF4"/>
    <w:rsid w:val="0035034E"/>
    <w:rsid w:val="00403D7E"/>
    <w:rsid w:val="00655CFE"/>
    <w:rsid w:val="00BD7259"/>
    <w:rsid w:val="00E4617A"/>
    <w:rsid w:val="0C923886"/>
    <w:rsid w:val="109E323B"/>
    <w:rsid w:val="15F347EE"/>
    <w:rsid w:val="16AC3637"/>
    <w:rsid w:val="17A728DB"/>
    <w:rsid w:val="17D11706"/>
    <w:rsid w:val="1E10278D"/>
    <w:rsid w:val="27D36297"/>
    <w:rsid w:val="2B9063DE"/>
    <w:rsid w:val="2FD510F8"/>
    <w:rsid w:val="31496359"/>
    <w:rsid w:val="33016EEC"/>
    <w:rsid w:val="3A3F1FE2"/>
    <w:rsid w:val="4D0D4BEC"/>
    <w:rsid w:val="554944AA"/>
    <w:rsid w:val="61456EE7"/>
    <w:rsid w:val="685E00DC"/>
    <w:rsid w:val="698A501E"/>
    <w:rsid w:val="6D5E78FF"/>
    <w:rsid w:val="713559D7"/>
    <w:rsid w:val="7BAE79C0"/>
    <w:rsid w:val="7D020E63"/>
    <w:rsid w:val="7E92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目录 21"/>
    <w:basedOn w:val="1"/>
    <w:qFormat/>
    <w:uiPriority w:val="0"/>
    <w:pPr>
      <w:ind w:left="240"/>
    </w:pPr>
  </w:style>
  <w:style w:type="paragraph" w:customStyle="1" w:styleId="30">
    <w:name w:val="目录 31"/>
    <w:basedOn w:val="1"/>
    <w:qFormat/>
    <w:uiPriority w:val="0"/>
    <w:pPr>
      <w:ind w:left="480"/>
    </w:pPr>
  </w:style>
  <w:style w:type="paragraph" w:customStyle="1" w:styleId="31">
    <w:name w:val="目录 41"/>
    <w:basedOn w:val="1"/>
    <w:qFormat/>
    <w:uiPriority w:val="0"/>
    <w:pPr>
      <w:ind w:left="720"/>
    </w:pPr>
  </w:style>
  <w:style w:type="paragraph" w:customStyle="1" w:styleId="32">
    <w:name w:val="目录 11"/>
    <w:basedOn w:val="1"/>
    <w:qFormat/>
    <w:uiPriority w:val="0"/>
    <w:pPr>
      <w:spacing w:before="120"/>
      <w:ind w:firstLine="560"/>
    </w:pPr>
    <w:rPr>
      <w:rFonts w:eastAsia="方正仿宋_GBK"/>
      <w:color w:val="000000"/>
      <w:sz w:val="28"/>
    </w:rPr>
  </w:style>
  <w:style w:type="character" w:customStyle="1" w:styleId="33">
    <w:name w:val="页眉 字符"/>
    <w:basedOn w:val="6"/>
    <w:link w:val="3"/>
    <w:semiHidden/>
    <w:qFormat/>
    <w:uiPriority w:val="99"/>
    <w:rPr>
      <w:rFonts w:eastAsia="Times New Roman"/>
      <w:sz w:val="18"/>
      <w:szCs w:val="18"/>
      <w:lang w:eastAsia="uk-UA"/>
    </w:rPr>
  </w:style>
  <w:style w:type="character" w:customStyle="1" w:styleId="34">
    <w:name w:val="页脚 字符"/>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2022-03-04T14:25:27Z</dcterms:created>
  <dcterms:modified xsi:type="dcterms:W3CDTF">2022-03-04T06:25:27Z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2022-03-04T14:25:30Z</dcterms:created>
  <dcterms:modified xsi:type="dcterms:W3CDTF">2022-03-04T06:25:30Z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2022-03-04T14:25:26Z</dcterms:created>
  <dcterms:modified xsi:type="dcterms:W3CDTF">2022-03-04T06:25:26Z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2022-03-04T14:25:31Z</dcterms:created>
  <dcterms:modified xsi:type="dcterms:W3CDTF">2022-03-04T06:25:31Z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2022-03-04T14:25:27Z</dcterms:created>
  <dcterms:modified xsi:type="dcterms:W3CDTF">2022-03-04T06:25:27Z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2022-03-04T14:25:30Z</dcterms:created>
  <dcterms:modified xsi:type="dcterms:W3CDTF">2022-03-04T06:25:29Z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2022-03-04T14:25:30Z</dcterms:created>
  <dcterms:modified xsi:type="dcterms:W3CDTF">2022-03-04T06:25:30Z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2022-03-04T14:25:30Z</dcterms:created>
  <dcterms:modified xsi:type="dcterms:W3CDTF">2022-03-04T06:25:30Z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2022-03-04T14:25:26Z</dcterms:created>
  <dcterms:modified xsi:type="dcterms:W3CDTF">2022-03-04T06:25:26Z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2022-03-04T14:25:26Z</dcterms:created>
  <dcterms:modified xsi:type="dcterms:W3CDTF">2022-03-04T06:25:26Z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2022-03-04T14:25:26Z</dcterms:created>
  <dcterms:modified xsi:type="dcterms:W3CDTF">2022-03-04T06:25:26Z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2022-03-04T14:25:30Z</dcterms:created>
  <dcterms:modified xsi:type="dcterms:W3CDTF">2022-03-04T06:25:30Z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2022-03-04T14:25:26Z</dcterms:created>
  <dcterms:modified xsi:type="dcterms:W3CDTF">2022-03-04T06:25:26Z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2633C3C-751D-4F44-954B-6D180DBB12FD}">
  <ds:schemaRefs/>
</ds:datastoreItem>
</file>

<file path=customXml/itemProps10.xml><?xml version="1.0" encoding="utf-8"?>
<ds:datastoreItem xmlns:ds="http://schemas.openxmlformats.org/officeDocument/2006/customXml" ds:itemID="{278CF1FA-922A-43FF-9065-D34676415693}">
  <ds:schemaRefs/>
</ds:datastoreItem>
</file>

<file path=customXml/itemProps11.xml><?xml version="1.0" encoding="utf-8"?>
<ds:datastoreItem xmlns:ds="http://schemas.openxmlformats.org/officeDocument/2006/customXml" ds:itemID="{F65122B3-FA68-4D43-BCD0-A08FDDEBEA43}">
  <ds:schemaRefs/>
</ds:datastoreItem>
</file>

<file path=customXml/itemProps12.xml><?xml version="1.0" encoding="utf-8"?>
<ds:datastoreItem xmlns:ds="http://schemas.openxmlformats.org/officeDocument/2006/customXml" ds:itemID="{EAAEED8C-58DC-411F-8722-DA6B7466CF58}">
  <ds:schemaRefs/>
</ds:datastoreItem>
</file>

<file path=customXml/itemProps13.xml><?xml version="1.0" encoding="utf-8"?>
<ds:datastoreItem xmlns:ds="http://schemas.openxmlformats.org/officeDocument/2006/customXml" ds:itemID="{658032B2-C2F6-450B-907E-32A9A2FAB520}">
  <ds:schemaRefs/>
</ds:datastoreItem>
</file>

<file path=customXml/itemProps14.xml><?xml version="1.0" encoding="utf-8"?>
<ds:datastoreItem xmlns:ds="http://schemas.openxmlformats.org/officeDocument/2006/customXml" ds:itemID="{C57BE868-30AF-4810-A72F-3504C5024E4F}">
  <ds:schemaRefs/>
</ds:datastoreItem>
</file>

<file path=customXml/itemProps15.xml><?xml version="1.0" encoding="utf-8"?>
<ds:datastoreItem xmlns:ds="http://schemas.openxmlformats.org/officeDocument/2006/customXml" ds:itemID="{1DA9CDF2-71AA-49B0-9D91-52FD7B31036F}">
  <ds:schemaRefs/>
</ds:datastoreItem>
</file>

<file path=customXml/itemProps16.xml><?xml version="1.0" encoding="utf-8"?>
<ds:datastoreItem xmlns:ds="http://schemas.openxmlformats.org/officeDocument/2006/customXml" ds:itemID="{5E00CE2A-775B-4B31-ADA1-10CA69E21CF3}">
  <ds:schemaRefs/>
</ds:datastoreItem>
</file>

<file path=customXml/itemProps17.xml><?xml version="1.0" encoding="utf-8"?>
<ds:datastoreItem xmlns:ds="http://schemas.openxmlformats.org/officeDocument/2006/customXml" ds:itemID="{63C63D7A-C891-4646-86D5-701071E98496}">
  <ds:schemaRefs/>
</ds:datastoreItem>
</file>

<file path=customXml/itemProps18.xml><?xml version="1.0" encoding="utf-8"?>
<ds:datastoreItem xmlns:ds="http://schemas.openxmlformats.org/officeDocument/2006/customXml" ds:itemID="{01F22E47-0DAF-42B1-A546-82073A7F87C9}">
  <ds:schemaRefs/>
</ds:datastoreItem>
</file>

<file path=customXml/itemProps19.xml><?xml version="1.0" encoding="utf-8"?>
<ds:datastoreItem xmlns:ds="http://schemas.openxmlformats.org/officeDocument/2006/customXml" ds:itemID="{2CA80B9D-755D-403E-AE42-44154C2D3B98}">
  <ds:schemaRefs/>
</ds:datastoreItem>
</file>

<file path=customXml/itemProps2.xml><?xml version="1.0" encoding="utf-8"?>
<ds:datastoreItem xmlns:ds="http://schemas.openxmlformats.org/officeDocument/2006/customXml" ds:itemID="{6F492DE3-C3E1-4062-BA37-8B725A1D8C09}">
  <ds:schemaRefs/>
</ds:datastoreItem>
</file>

<file path=customXml/itemProps20.xml><?xml version="1.0" encoding="utf-8"?>
<ds:datastoreItem xmlns:ds="http://schemas.openxmlformats.org/officeDocument/2006/customXml" ds:itemID="{41FA19F9-BEA2-44B2-869A-53A109B4824D}">
  <ds:schemaRefs/>
</ds:datastoreItem>
</file>

<file path=customXml/itemProps21.xml><?xml version="1.0" encoding="utf-8"?>
<ds:datastoreItem xmlns:ds="http://schemas.openxmlformats.org/officeDocument/2006/customXml" ds:itemID="{2C682BFB-0522-46E2-9505-DAB37F41D665}">
  <ds:schemaRefs/>
</ds:datastoreItem>
</file>

<file path=customXml/itemProps22.xml><?xml version="1.0" encoding="utf-8"?>
<ds:datastoreItem xmlns:ds="http://schemas.openxmlformats.org/officeDocument/2006/customXml" ds:itemID="{33E5BA9E-E227-43BE-BCA5-30543D3EA65B}">
  <ds:schemaRefs/>
</ds:datastoreItem>
</file>

<file path=customXml/itemProps23.xml><?xml version="1.0" encoding="utf-8"?>
<ds:datastoreItem xmlns:ds="http://schemas.openxmlformats.org/officeDocument/2006/customXml" ds:itemID="{F3EA6452-1CFA-463B-A214-E7D810325271}">
  <ds:schemaRefs/>
</ds:datastoreItem>
</file>

<file path=customXml/itemProps24.xml><?xml version="1.0" encoding="utf-8"?>
<ds:datastoreItem xmlns:ds="http://schemas.openxmlformats.org/officeDocument/2006/customXml" ds:itemID="{2D7542B1-64C8-4F96-856A-92E9EF8E3FC5}">
  <ds:schemaRefs/>
</ds:datastoreItem>
</file>

<file path=customXml/itemProps25.xml><?xml version="1.0" encoding="utf-8"?>
<ds:datastoreItem xmlns:ds="http://schemas.openxmlformats.org/officeDocument/2006/customXml" ds:itemID="{324D7067-641F-4810-8318-31BE4AF3A2D0}">
  <ds:schemaRefs/>
</ds:datastoreItem>
</file>

<file path=customXml/itemProps26.xml><?xml version="1.0" encoding="utf-8"?>
<ds:datastoreItem xmlns:ds="http://schemas.openxmlformats.org/officeDocument/2006/customXml" ds:itemID="{EFC3BB3C-A36A-4FDF-BB37-B1B97A101B94}">
  <ds:schemaRefs/>
</ds:datastoreItem>
</file>

<file path=customXml/itemProps3.xml><?xml version="1.0" encoding="utf-8"?>
<ds:datastoreItem xmlns:ds="http://schemas.openxmlformats.org/officeDocument/2006/customXml" ds:itemID="{A8EE8D8D-8AA4-42CD-9C2B-832A12370869}">
  <ds:schemaRefs/>
</ds:datastoreItem>
</file>

<file path=customXml/itemProps4.xml><?xml version="1.0" encoding="utf-8"?>
<ds:datastoreItem xmlns:ds="http://schemas.openxmlformats.org/officeDocument/2006/customXml" ds:itemID="{C2085D3E-1F6C-4604-9FE3-5E742880CD28}">
  <ds:schemaRefs/>
</ds:datastoreItem>
</file>

<file path=customXml/itemProps5.xml><?xml version="1.0" encoding="utf-8"?>
<ds:datastoreItem xmlns:ds="http://schemas.openxmlformats.org/officeDocument/2006/customXml" ds:itemID="{716A68A5-524C-4E97-8B2D-35336D1C15FB}">
  <ds:schemaRefs/>
</ds:datastoreItem>
</file>

<file path=customXml/itemProps6.xml><?xml version="1.0" encoding="utf-8"?>
<ds:datastoreItem xmlns:ds="http://schemas.openxmlformats.org/officeDocument/2006/customXml" ds:itemID="{38B88B30-F0DA-4140-B9D6-BDC08536F88B}">
  <ds:schemaRefs/>
</ds:datastoreItem>
</file>

<file path=customXml/itemProps7.xml><?xml version="1.0" encoding="utf-8"?>
<ds:datastoreItem xmlns:ds="http://schemas.openxmlformats.org/officeDocument/2006/customXml" ds:itemID="{A6568EED-0882-4A79-900A-8E14F7441B3A}">
  <ds:schemaRefs/>
</ds:datastoreItem>
</file>

<file path=customXml/itemProps8.xml><?xml version="1.0" encoding="utf-8"?>
<ds:datastoreItem xmlns:ds="http://schemas.openxmlformats.org/officeDocument/2006/customXml" ds:itemID="{08BF8858-BEDB-48D2-8F80-1C5C3F4CA203}">
  <ds:schemaRefs/>
</ds:datastoreItem>
</file>

<file path=customXml/itemProps9.xml><?xml version="1.0" encoding="utf-8"?>
<ds:datastoreItem xmlns:ds="http://schemas.openxmlformats.org/officeDocument/2006/customXml" ds:itemID="{BB102A9B-F4D1-44EC-9D19-CB14F93ED80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2275</Words>
  <Characters>12972</Characters>
  <Lines>108</Lines>
  <Paragraphs>30</Paragraphs>
  <TotalTime>49</TotalTime>
  <ScaleCrop>false</ScaleCrop>
  <LinksUpToDate>false</LinksUpToDate>
  <CharactersWithSpaces>15217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2022-03-04T06:09:00Z</dcterms:created>
  <dc:creator>Administrator</dc:creator>
  <cp:lastModifiedBy>张俊清</cp:lastModifiedBy>
  <dcterms:modified xsi:type="dcterms:W3CDTF">2023-08-15T01:55:54Z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4FF0C47B70714472B7026DD99E1A5B44</vt:lpwstr>
  </property>
</Properties>
</file>